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before="454" w:beforeAutospacing="0" w:after="454" w:afterAutospacing="0"/>
        <w:ind w:left="454" w:right="454"/>
        <w:jc w:val="center"/>
        <w:outlineLvl w:val="0"/>
        <w:rPr>
          <w:sz w:val="40"/>
          <w:szCs w:val="40"/>
        </w:rPr>
      </w:pPr>
      <w:r>
        <w:rPr>
          <w:sz w:val="40"/>
          <w:szCs w:val="40"/>
        </w:rPr>
        <w:t>深圳市智慧口岸总体规划设计服务</w:t>
      </w:r>
    </w:p>
    <w:p>
      <w:pPr>
        <w:pStyle w:val="37"/>
        <w:jc w:val="center"/>
        <w:outlineLvl w:val="1"/>
        <w:rPr>
          <w:rFonts w:ascii="黑体" w:hAnsi="黑体" w:eastAsia="黑体"/>
          <w:sz w:val="40"/>
          <w:szCs w:val="40"/>
        </w:rPr>
      </w:pPr>
      <w:r>
        <w:rPr>
          <w:rFonts w:hint="eastAsia" w:ascii="黑体" w:hAnsi="黑体" w:eastAsia="黑体"/>
          <w:sz w:val="40"/>
          <w:szCs w:val="40"/>
        </w:rPr>
        <w:t>招标文件信息</w:t>
      </w:r>
    </w:p>
    <w:tbl>
      <w:tblPr>
        <w:tblStyle w:val="42"/>
        <w:tblW w:w="7938" w:type="dxa"/>
        <w:jc w:val="center"/>
        <w:tblCellSpacing w:w="0" w:type="dxa"/>
        <w:tblLayout w:type="autofit"/>
        <w:tblCellMar>
          <w:top w:w="39" w:type="dxa"/>
          <w:left w:w="39" w:type="dxa"/>
          <w:bottom w:w="39" w:type="dxa"/>
          <w:right w:w="39" w:type="dxa"/>
        </w:tblCellMar>
      </w:tblPr>
      <w:tblGrid>
        <w:gridCol w:w="2722"/>
        <w:gridCol w:w="5216"/>
      </w:tblGrid>
      <w:tr>
        <w:tblPrEx>
          <w:tblCellMar>
            <w:top w:w="39" w:type="dxa"/>
            <w:left w:w="39" w:type="dxa"/>
            <w:bottom w:w="39" w:type="dxa"/>
            <w:right w:w="39"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项目编号：</w:t>
            </w:r>
          </w:p>
        </w:tc>
        <w:tc>
          <w:tcPr>
            <w:tcW w:w="0" w:type="auto"/>
            <w:vAlign w:val="center"/>
          </w:tcPr>
          <w:p>
            <w:pPr>
              <w:rPr>
                <w:rFonts w:ascii="宋体" w:hAnsi="宋体" w:cs="宋体"/>
                <w:sz w:val="30"/>
                <w:szCs w:val="30"/>
              </w:rPr>
            </w:pPr>
            <w:r>
              <w:rPr>
                <w:sz w:val="30"/>
                <w:szCs w:val="30"/>
              </w:rPr>
              <w:t>SZDL2020335590</w:t>
            </w:r>
          </w:p>
        </w:tc>
      </w:tr>
      <w:tr>
        <w:tblPrEx>
          <w:tblCellMar>
            <w:top w:w="39" w:type="dxa"/>
            <w:left w:w="39" w:type="dxa"/>
            <w:bottom w:w="39" w:type="dxa"/>
            <w:right w:w="39" w:type="dxa"/>
          </w:tblCellMar>
        </w:tblPrEx>
        <w:trPr>
          <w:trHeight w:val="737" w:hRule="atLeast"/>
          <w:tblCellSpacing w:w="0" w:type="dxa"/>
          <w:jc w:val="center"/>
        </w:trPr>
        <w:tc>
          <w:tcPr>
            <w:tcW w:w="0" w:type="auto"/>
            <w:vAlign w:val="center"/>
          </w:tcPr>
          <w:p>
            <w:pPr>
              <w:jc w:val="right"/>
              <w:rPr>
                <w:rFonts w:ascii="宋体" w:hAnsi="宋体" w:cs="宋体"/>
                <w:sz w:val="30"/>
                <w:szCs w:val="30"/>
              </w:rPr>
            </w:pPr>
            <w:r>
              <w:rPr>
                <w:sz w:val="30"/>
                <w:szCs w:val="30"/>
              </w:rPr>
              <w:t>项目名称：</w:t>
            </w:r>
          </w:p>
        </w:tc>
        <w:tc>
          <w:tcPr>
            <w:tcW w:w="0" w:type="auto"/>
            <w:vAlign w:val="center"/>
          </w:tcPr>
          <w:p>
            <w:pPr>
              <w:rPr>
                <w:rFonts w:ascii="宋体" w:hAnsi="宋体" w:cs="宋体"/>
                <w:sz w:val="30"/>
                <w:szCs w:val="30"/>
              </w:rPr>
            </w:pPr>
            <w:r>
              <w:rPr>
                <w:sz w:val="30"/>
                <w:szCs w:val="30"/>
              </w:rPr>
              <w:t>深圳市智慧口岸总体规划设计服务</w:t>
            </w:r>
          </w:p>
        </w:tc>
      </w:tr>
      <w:tr>
        <w:tblPrEx>
          <w:tblCellMar>
            <w:top w:w="39" w:type="dxa"/>
            <w:left w:w="39" w:type="dxa"/>
            <w:bottom w:w="39" w:type="dxa"/>
            <w:right w:w="39" w:type="dxa"/>
          </w:tblCellMar>
        </w:tblPrEx>
        <w:trPr>
          <w:trHeight w:val="737" w:hRule="atLeast"/>
          <w:tblCellSpacing w:w="0" w:type="dxa"/>
          <w:jc w:val="center"/>
        </w:trPr>
        <w:tc>
          <w:tcPr>
            <w:tcW w:w="0" w:type="auto"/>
            <w:vAlign w:val="center"/>
          </w:tcPr>
          <w:p>
            <w:pPr>
              <w:jc w:val="right"/>
              <w:rPr>
                <w:rFonts w:ascii="宋体" w:hAnsi="宋体" w:cs="宋体"/>
                <w:sz w:val="30"/>
                <w:szCs w:val="30"/>
              </w:rPr>
            </w:pPr>
            <w:r>
              <w:rPr>
                <w:sz w:val="30"/>
                <w:szCs w:val="30"/>
              </w:rPr>
              <w:t>包 号：</w:t>
            </w:r>
          </w:p>
        </w:tc>
        <w:tc>
          <w:tcPr>
            <w:tcW w:w="0" w:type="auto"/>
            <w:vAlign w:val="center"/>
          </w:tcPr>
          <w:p>
            <w:pPr>
              <w:rPr>
                <w:rFonts w:ascii="宋体" w:hAnsi="宋体" w:cs="宋体"/>
                <w:sz w:val="30"/>
                <w:szCs w:val="30"/>
              </w:rPr>
            </w:pPr>
            <w:r>
              <w:rPr>
                <w:sz w:val="30"/>
                <w:szCs w:val="30"/>
              </w:rPr>
              <w:t>A</w:t>
            </w:r>
          </w:p>
        </w:tc>
      </w:tr>
      <w:tr>
        <w:tblPrEx>
          <w:tblCellMar>
            <w:top w:w="39" w:type="dxa"/>
            <w:left w:w="39" w:type="dxa"/>
            <w:bottom w:w="39" w:type="dxa"/>
            <w:right w:w="39" w:type="dxa"/>
          </w:tblCellMar>
        </w:tblPrEx>
        <w:trPr>
          <w:trHeight w:val="737" w:hRule="atLeast"/>
          <w:tblCellSpacing w:w="0" w:type="dxa"/>
          <w:jc w:val="center"/>
        </w:trPr>
        <w:tc>
          <w:tcPr>
            <w:tcW w:w="0" w:type="auto"/>
            <w:vAlign w:val="center"/>
          </w:tcPr>
          <w:p>
            <w:pPr>
              <w:jc w:val="right"/>
              <w:rPr>
                <w:rFonts w:ascii="宋体" w:hAnsi="宋体" w:cs="宋体"/>
                <w:sz w:val="30"/>
                <w:szCs w:val="30"/>
              </w:rPr>
            </w:pPr>
            <w:r>
              <w:rPr>
                <w:sz w:val="30"/>
                <w:szCs w:val="30"/>
              </w:rPr>
              <w:t>项目类型：</w:t>
            </w:r>
          </w:p>
        </w:tc>
        <w:tc>
          <w:tcPr>
            <w:tcW w:w="0" w:type="auto"/>
            <w:vAlign w:val="center"/>
          </w:tcPr>
          <w:p>
            <w:pPr>
              <w:rPr>
                <w:rFonts w:ascii="宋体" w:hAnsi="宋体" w:cs="宋体"/>
                <w:sz w:val="30"/>
                <w:szCs w:val="30"/>
              </w:rPr>
            </w:pPr>
            <w:r>
              <w:rPr>
                <w:sz w:val="30"/>
                <w:szCs w:val="30"/>
              </w:rPr>
              <w:t>服务类</w:t>
            </w:r>
          </w:p>
        </w:tc>
      </w:tr>
      <w:tr>
        <w:tblPrEx>
          <w:tblCellMar>
            <w:top w:w="39" w:type="dxa"/>
            <w:left w:w="39" w:type="dxa"/>
            <w:bottom w:w="39" w:type="dxa"/>
            <w:right w:w="39" w:type="dxa"/>
          </w:tblCellMar>
        </w:tblPrEx>
        <w:trPr>
          <w:trHeight w:val="737" w:hRule="atLeast"/>
          <w:tblCellSpacing w:w="0" w:type="dxa"/>
          <w:jc w:val="center"/>
        </w:trPr>
        <w:tc>
          <w:tcPr>
            <w:tcW w:w="0" w:type="auto"/>
            <w:vAlign w:val="center"/>
          </w:tcPr>
          <w:p>
            <w:pPr>
              <w:jc w:val="right"/>
              <w:rPr>
                <w:rFonts w:ascii="宋体" w:hAnsi="宋体" w:cs="宋体"/>
                <w:sz w:val="30"/>
                <w:szCs w:val="30"/>
              </w:rPr>
            </w:pPr>
            <w:r>
              <w:rPr>
                <w:sz w:val="30"/>
                <w:szCs w:val="30"/>
              </w:rPr>
              <w:t>采购方式：</w:t>
            </w:r>
          </w:p>
        </w:tc>
        <w:tc>
          <w:tcPr>
            <w:tcW w:w="0" w:type="auto"/>
            <w:vAlign w:val="center"/>
          </w:tcPr>
          <w:p>
            <w:pPr>
              <w:rPr>
                <w:rFonts w:ascii="宋体" w:hAnsi="宋体" w:cs="宋体"/>
                <w:sz w:val="30"/>
                <w:szCs w:val="30"/>
              </w:rPr>
            </w:pPr>
            <w:r>
              <w:rPr>
                <w:sz w:val="30"/>
                <w:szCs w:val="30"/>
              </w:rPr>
              <w:t>公开招标</w:t>
            </w:r>
          </w:p>
        </w:tc>
      </w:tr>
      <w:tr>
        <w:tblPrEx>
          <w:tblCellMar>
            <w:top w:w="39" w:type="dxa"/>
            <w:left w:w="39" w:type="dxa"/>
            <w:bottom w:w="39" w:type="dxa"/>
            <w:right w:w="39" w:type="dxa"/>
          </w:tblCellMar>
        </w:tblPrEx>
        <w:trPr>
          <w:trHeight w:val="737" w:hRule="atLeast"/>
          <w:tblCellSpacing w:w="0" w:type="dxa"/>
          <w:jc w:val="center"/>
        </w:trPr>
        <w:tc>
          <w:tcPr>
            <w:tcW w:w="0" w:type="auto"/>
            <w:vAlign w:val="center"/>
          </w:tcPr>
          <w:p>
            <w:pPr>
              <w:jc w:val="right"/>
              <w:rPr>
                <w:rFonts w:ascii="宋体" w:hAnsi="宋体" w:cs="宋体"/>
                <w:sz w:val="30"/>
                <w:szCs w:val="30"/>
              </w:rPr>
            </w:pPr>
            <w:r>
              <w:rPr>
                <w:sz w:val="30"/>
                <w:szCs w:val="30"/>
              </w:rPr>
              <w:t>货币类型：</w:t>
            </w:r>
          </w:p>
        </w:tc>
        <w:tc>
          <w:tcPr>
            <w:tcW w:w="0" w:type="auto"/>
            <w:vAlign w:val="center"/>
          </w:tcPr>
          <w:p>
            <w:pPr>
              <w:rPr>
                <w:rFonts w:ascii="宋体" w:hAnsi="宋体" w:cs="宋体"/>
                <w:sz w:val="30"/>
                <w:szCs w:val="30"/>
              </w:rPr>
            </w:pPr>
            <w:r>
              <w:rPr>
                <w:sz w:val="30"/>
                <w:szCs w:val="30"/>
              </w:rPr>
              <w:t>人民币</w:t>
            </w:r>
          </w:p>
        </w:tc>
      </w:tr>
      <w:tr>
        <w:tblPrEx>
          <w:tblCellMar>
            <w:top w:w="39" w:type="dxa"/>
            <w:left w:w="39" w:type="dxa"/>
            <w:bottom w:w="39" w:type="dxa"/>
            <w:right w:w="39" w:type="dxa"/>
          </w:tblCellMar>
        </w:tblPrEx>
        <w:trPr>
          <w:trHeight w:val="737" w:hRule="atLeast"/>
          <w:tblCellSpacing w:w="0" w:type="dxa"/>
          <w:jc w:val="center"/>
        </w:trPr>
        <w:tc>
          <w:tcPr>
            <w:tcW w:w="0" w:type="auto"/>
            <w:vAlign w:val="center"/>
          </w:tcPr>
          <w:p>
            <w:pPr>
              <w:jc w:val="right"/>
              <w:rPr>
                <w:rFonts w:ascii="宋体" w:hAnsi="宋体" w:cs="宋体"/>
                <w:sz w:val="30"/>
                <w:szCs w:val="30"/>
              </w:rPr>
            </w:pPr>
            <w:r>
              <w:rPr>
                <w:sz w:val="30"/>
                <w:szCs w:val="30"/>
              </w:rPr>
              <w:t>评标方法：</w:t>
            </w:r>
          </w:p>
        </w:tc>
        <w:tc>
          <w:tcPr>
            <w:tcW w:w="0" w:type="auto"/>
            <w:vAlign w:val="center"/>
          </w:tcPr>
          <w:p>
            <w:pPr>
              <w:rPr>
                <w:rFonts w:ascii="宋体" w:hAnsi="宋体" w:cs="宋体"/>
                <w:sz w:val="30"/>
                <w:szCs w:val="30"/>
              </w:rPr>
            </w:pPr>
            <w:r>
              <w:rPr>
                <w:sz w:val="30"/>
                <w:szCs w:val="30"/>
              </w:rPr>
              <w:t>综合评分法（新价格分算法）</w:t>
            </w:r>
          </w:p>
        </w:tc>
      </w:tr>
    </w:tbl>
    <w:p>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投标人不具备招标文件所列的资格要求，或未提交相应的资格证明资料（详见招标公告 投标人资格要求）。</w:t>
            </w:r>
          </w:p>
        </w:tc>
      </w:tr>
    </w:tbl>
    <w:p>
      <w:pPr>
        <w:pStyle w:val="37"/>
        <w:spacing w:before="280" w:beforeAutospacing="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将一个包或一个标段的内容拆开投标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2</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对同一项目投标时，提供两套以上的投标方案（招标文件另有规定的除外）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3</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分项报价或投标总价高于预算金额（最高投标限价）的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4</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同一项目出现两个或以上报价，且按规定无法确定哪个是有效报价；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5</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6</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所投产品、工程、服务在商务、技术等方面没有实质性满足招标文件要求的（是否实质性满足招标文件要求，由评标委员会根据《实质性响应条款偏离表》做出评判）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7</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未按招标文件所提供的样式填写《投标函》；未按招标文件所提供的《政府采购投标及履约承诺函》进行承诺；未按招标文件对投标文件组成的要求提供投标文件的（投标文件组成不完整）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8</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投标报价有严重缺漏项目或对招标文件规定的服务清单项目及数量进行修改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9</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投标文件存在规避信息公开情形的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10</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投标文件电子文档有病毒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11</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投标文件用不属于本公司的电子密钥进行加密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12</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误选了非本项目的最新加密规则文件，导致投标文件不能在开标时解密；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13</w:t>
            </w:r>
          </w:p>
        </w:tc>
        <w:tc>
          <w:tcPr>
            <w:tcW w:w="0" w:type="auto"/>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szCs w:val="21"/>
              </w:rPr>
              <w:t>法律、法规规定的其他情形</w:t>
            </w:r>
          </w:p>
        </w:tc>
      </w:tr>
    </w:tbl>
    <w:p>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Layout w:type="autofit"/>
        <w:tblCellMar>
          <w:top w:w="39" w:type="dxa"/>
          <w:left w:w="39" w:type="dxa"/>
          <w:bottom w:w="39" w:type="dxa"/>
          <w:right w:w="39" w:type="dxa"/>
        </w:tblCellMar>
      </w:tblPr>
      <w:tblGrid>
        <w:gridCol w:w="8859"/>
        <w:gridCol w:w="213"/>
      </w:tblGrid>
      <w:tr>
        <w:tblPrEx>
          <w:tblCellMar>
            <w:top w:w="39" w:type="dxa"/>
            <w:left w:w="39" w:type="dxa"/>
            <w:bottom w:w="39" w:type="dxa"/>
            <w:right w:w="39" w:type="dxa"/>
          </w:tblCellMar>
        </w:tblPrEx>
        <w:trPr>
          <w:tblCellSpacing w:w="0" w:type="dxa"/>
          <w:jc w:val="center"/>
        </w:trPr>
        <w:tc>
          <w:tcPr>
            <w:tcW w:w="0" w:type="auto"/>
            <w:tcBorders>
              <w:top w:val="nil"/>
              <w:left w:val="nil"/>
              <w:bottom w:val="nil"/>
              <w:right w:val="nil"/>
            </w:tcBorders>
            <w:vAlign w:val="center"/>
          </w:tcPr>
          <w:p>
            <w:pPr>
              <w:rPr>
                <w:rFonts w:ascii="宋体" w:hAnsi="宋体" w:cs="宋体"/>
                <w:b/>
                <w:bCs/>
                <w:sz w:val="24"/>
              </w:rPr>
            </w:pPr>
            <w:r>
              <w:rPr>
                <w:b/>
                <w:bCs/>
              </w:rPr>
              <w:t>评标方法：综合评分法（新价格分算法）</w:t>
            </w:r>
          </w:p>
        </w:tc>
        <w:tc>
          <w:tcPr>
            <w:tcW w:w="0" w:type="auto"/>
            <w:tcBorders>
              <w:top w:val="nil"/>
              <w:left w:val="nil"/>
              <w:bottom w:val="nil"/>
              <w:right w:val="nil"/>
            </w:tcBorders>
            <w:vAlign w:val="center"/>
          </w:tcPr>
          <w:p>
            <w:pPr>
              <w:jc w:val="right"/>
              <w:rPr>
                <w:rFonts w:ascii="宋体" w:hAnsi="宋体" w:cs="宋体"/>
                <w:b/>
                <w:bCs/>
                <w:sz w:val="24"/>
              </w:rPr>
            </w:pPr>
          </w:p>
        </w:tc>
      </w:tr>
      <w:tr>
        <w:tblPrEx>
          <w:tblCellMar>
            <w:top w:w="39" w:type="dxa"/>
            <w:left w:w="39" w:type="dxa"/>
            <w:bottom w:w="39" w:type="dxa"/>
            <w:right w:w="39" w:type="dxa"/>
          </w:tblCellMar>
        </w:tblPrEx>
        <w:trPr>
          <w:tblCellSpacing w:w="0" w:type="dxa"/>
          <w:jc w:val="center"/>
        </w:trPr>
        <w:tc>
          <w:tcPr>
            <w:tcW w:w="0" w:type="auto"/>
            <w:gridSpan w:val="2"/>
            <w:tcBorders>
              <w:top w:val="nil"/>
              <w:left w:val="nil"/>
              <w:bottom w:val="nil"/>
              <w:right w:val="nil"/>
            </w:tcBorders>
            <w:vAlign w:val="center"/>
          </w:tcPr>
          <w:p>
            <w:pPr>
              <w:pStyle w:val="37"/>
              <w:spacing w:line="324" w:lineRule="auto"/>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37"/>
              <w:ind w:firstLine="420"/>
              <w:rPr>
                <w:sz w:val="21"/>
                <w:szCs w:val="21"/>
              </w:rPr>
            </w:pPr>
            <w:r>
              <w:rPr>
                <w:sz w:val="21"/>
                <w:szCs w:val="21"/>
              </w:rPr>
              <w:t>价格分计算方法：</w:t>
            </w:r>
          </w:p>
          <w:p>
            <w:pPr>
              <w:pStyle w:val="37"/>
              <w:spacing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sz w:val="21"/>
                <w:szCs w:val="21"/>
              </w:rPr>
              <w:t xml:space="preserve">此方法适用于货物类、服务类、工程类项目。 </w:t>
            </w:r>
          </w:p>
        </w:tc>
      </w:tr>
    </w:tbl>
    <w:p>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2835"/>
        <w:gridCol w:w="681"/>
        <w:gridCol w:w="4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技术</w:t>
            </w:r>
          </w:p>
        </w:tc>
        <w:tc>
          <w:tcPr>
            <w:tcW w:w="4196"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278"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292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对智慧口岸需求理解程度</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6</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对国家、广东省、深圳市智慧城市、智慧口岸及口岸信息化建设规划相关文件精神理解情况；对国内外智慧口岸及相关前沿技术应用发展了解掌握情况；对深圳市智慧口岸现状了解情况；对深圳市智慧口岸需求进行多维度、全面分析；对主要业务板块需求进行梳理，需求清晰，突出重点，切合实际。 评审委员会根据响应情况进行评审： 1.对智慧口岸需求理解全面、深入，得100%分； 2.对智慧口岸需求理解较全面、深入，得70%分； 3.对智慧口岸需求理解一般，得40%分； 4.对智慧口岸需求理解不全面，不深入不得分。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2</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深圳市智慧口岸建设规划总体框架的初步思路</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8</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结合国内外智慧口岸发展情况、新兴技术应用情况、深圳市口岸发展现状及智慧口岸需求实际紧密，规划思路清晰；含近期、中期、远期三个时段目标规划设计，目标和预期效果具有科学、合理、有效。 评审委员会根据响应情况进行评审： 1.设计思路清晰，目标和预期效果科学、合理、有效，得100%分； 2.设计思路清晰，目标和预期效果较科学、合理、有效，得70%分； 3.设计思路、目标和预期效果一般，得40%分； 4.设计思路不清晰、目标和预期效果较差、未提供相关内容不得分。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3</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智慧口岸一期建设项目的初步设计方案</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8</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设计思路先进可行，体系完整，能够突出深圳智慧口岸建设特点，重点和难点，体现总体规划设计的思路，对新兴技术创新应用好，前景效果预期好。充分体现平台间的有机整合，统一规划，充分利用资源，避免重复建设；软硬件设备选型原则科学合理，方案齐全。 评审委员会根据响应情况进行评审： 1.一期建设项目设计方案先进、合理，得100%分； 2.一期建设项目设计方案较先进、合理，得70%分； 3.一期建设项目设计方案一般，得40%分； 4.一期建设项目设计方案较差、未提供相关内容不得分。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4</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项目整体组织方案</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2</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根据招标人需求，制定需求调研计划方案，调研对象要具有典型性、代表性，组织有序、时间计划安排合理、可行，为后期规划设计提供参考。 评审委员会根据响应情况进行评审： 1.项目整体组织方案科学、合理，得100%分； 2.项目整体组织方案较科学、合理，得70%分； 3.项目整体组织方案一般，得40%分； 4.项目整体组织方案较差或未提供相关内容不得分。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5</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持续技术咨询服务方案及承诺</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2</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为业主单位提供工作：提供对深圳智慧口岸项目咨询服务及后续支撑服务，服务方案及承诺具体，技术咨询规范体系建议合理可行。 评审委员会根据响应情况进行评审： 1.持续技术咨询服务方案及承诺合理、可行，得100%分； 2.持续技术咨询服务方案及承诺较合理、可行，得70%分； 3.持续技术咨询服务方案及承诺一般，得40%分； 4.持续技术咨询服务方案及承诺不合理、不可行或未提供相关内容不得分。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6</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现场述标（演示）</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4</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根据投标人对智慧口岸相关现状、存在问题和重点难点进行分析；针对深圳口岸实际提出智慧口岸建设思路、实施路径及推进工作建议。 评审委员会进行横向比较：评价为优得100%分，评价为良得70%分；评价为一般得40%分；其他不得分。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278"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292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投标人资格及通过相关认证情况</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7</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（一）评分标准： 1. 工程咨询甲级资信证书（信息工程）； 2. 具有软件企业认证证书且具有CMMI5级资质证书； 3. ITSS信息技术服务咨询设计标准符合性证书（业务领域：信息技术服务咨询设计）； 4. 具有信息技术服务运行维护标准符合性证书ITSS叁级或以上； 5. 具有高新技术企业证书； 6. 具有知识产权管理体系认证证书； 7. 具备信息安全服务资质认证证书（信息系统安全集成服务资格一级）。 以上每具备1项得15%分，满分100%分。 （二）评分依据： 1、提供有效的资格（认证）证书复印件； 2、评分中出现无证明资料或专家无法凭所提供资料判断是否得分的情况，一律作不得分处理。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2</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企业管理认证</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2</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（一）评分标准： 1.具有质量管理体系认证； 2.具有职业健康安全管理体系认证； 3.具有环境管理体系认证； 4.具有信息安全管理体系认证证书； 5.ISO/IEC20000-1服务管理体系认证证书。 以上各项目每满足一项得20%分，最高可得100%分； （二）评分依据： 1、提供有效的资格（认证）证书复印件，以上证书认证范围必须包含“通信工程咨询设计及计算机信息系统集成”； 2、未按要求提供相关材料或扫描件不清晰导致无法识别的不得分，原件备查。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3</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投标人同类项目业绩情况</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3</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（一）评分标准： 投标人具有同类项目（“智慧城市”、“智慧口岸”、“电子口岸”规划设计类）业绩，每提供一项得10%分。合同签订时间为2015年1月1日至本项目投标截止时间前。本项最高得100%分。 （二）评分依据： 1、提供业绩合同关键页的复印件，加盖投标人公章；否则不得分； 2、评分中出现无证明资料或专家无法凭所提供资料判断是否得分的情况，一律作不得分处理。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4</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投标人获奖情况</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4</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自2012年以来获得国家级工程咨询/设计成果奖，特等或一等奖每提供1个得25%分，二等奖或三等奖每提供1个得10%分，总分100%分。 提供相关证明文件扫描件，原件备查。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5</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拟安排的项目负责人情况</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10</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（一）评分标准： 要求拟安排项目负责人（限一名） 1. 全日制硕士研究生及以上学历(通信类或计算机类或电子类专业)； 2. 电子技术高级（或以上）工程师职称； 3. 注册咨询工程师（通信信息专业）资质证书； 4. PMP证书； 5. 住房与城乡建设部颁发的一级建造师证书（通信与广电工程专业）； 6. 国家工信部（原信产部）或中国电子信息行业联合会颁发的计算机信息系统集成高级项目经理证书。 同时满足以上6项得100%分；满足其中任何5项得60%分；满足其中任何3-4项得40%分；其他情况不得分，总分100%分。 （二）评分标准： 1、提供拟安排的项目负责人的证书复印件加盖投标人公章； 2、提供拟安排的项目负责人所在投标人近半年在职证明材料； 3、评分中出现无证明资料或专家无法凭所提供资料判断是否得分的情况，一律作不得分处理。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6</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拟安排的项目团队成员情况（项目负责人除外）</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14</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一）评分标准： 拟安排的项目驻场人员及团队成员总人数要求10-15人（明确1名现场项目经理），满足以下条件： 1. 项目驻场人员具有注册咨询工程师证书（不少于2人）； 2. 项目组成员具有信息系统项目管理师资质证书（不少于2人）； 3. 项目组成员具有注册电气工程师资质证书（不少于1人）； 4. 项目组成员具有CCIE资质证书（不少于1人）； 5. 项目驻场人员具有CISP资质证书（不少于2人）； 6. 项目组成员具有VCP认证资质证书（不少于1人）； 7. 项目组成员具有系统架构师资质证书（不少于1人）； 8. 项目组成员具有系统分析师资质证书（不少于1人）； 9. 项目组成员具有注册造价师资质证书（不少于1人）； 10. 现场项目经理具有工信部颁发的5G网络技术（高级）资格证书。 11. 注：上述10项全部满足得100%分；满足其中任何7-9项得70%分；满足其中任何4-6项得40%分；其他情况不得分；总分100%分。 （二）评分依据： 1、同一成员具备多个证书可重复计分； 2、提供拟安排的项目成员所在投标人近半年在职证明材料； 3、评分中出现无证明资料或专家无法凭所提供资料判断是否得分的情况，一律作不得分处理。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7</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诚信</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5</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采购代理机构工作人员向评审委员会提供相关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8</w:t>
            </w:r>
          </w:p>
        </w:tc>
        <w:tc>
          <w:tcPr>
            <w:tcW w:w="2835"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疫情防控</w:t>
            </w:r>
          </w:p>
        </w:tc>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szCs w:val="21"/>
              </w:rPr>
            </w:pPr>
            <w:r>
              <w:rPr>
                <w:szCs w:val="21"/>
              </w:rPr>
              <w:t>5</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szCs w:val="21"/>
              </w:rPr>
              <w:t>1、投标人为疫情防控重点企业的，得60%分； 备注：提供纳入全国性名单或地方性名单的疫情防控重点保障企业，提供一项自身属于重点保障企业的证明材料（名单查询网页链接、名单网页截图、政府部门出具的文件或者企业享受重点保障企业优惠政策的其他证明文件）；全国性名单或地方性疫情防控重点保障企业名单依据财金【2020】5号文的相关规定执行。 2、投标人为稳岗企业的，得40%分； 备注：未裁员或者裁员率低于20%的企业，即投标前一个月实际参加社会保险（至少包括养老保险的员工人数）（含免缴或延期缴纳社会保险人数）不低于2019年12月同口径人数80%（含）的企业，视为稳岗，提供自身符合稳岗企业条件的承诺函（格式自定），投标人提供虚假承诺的，将做无效投标处理，涉嫌存在违法违规行为的，依法报主管部门处理处罚。</w:t>
            </w:r>
          </w:p>
        </w:tc>
      </w:tr>
    </w:tbl>
    <w:p>
      <w:pPr>
        <w:pStyle w:val="37"/>
        <w:jc w:val="center"/>
        <w:outlineLvl w:val="1"/>
        <w:rPr>
          <w:rFonts w:ascii="黑体" w:hAnsi="黑体" w:eastAsia="黑体"/>
          <w:sz w:val="40"/>
          <w:szCs w:val="40"/>
        </w:rPr>
      </w:pPr>
      <w:r>
        <w:rPr>
          <w:rFonts w:hint="eastAsia" w:ascii="黑体" w:hAnsi="黑体" w:eastAsia="黑体"/>
          <w:sz w:val="40"/>
          <w:szCs w:val="40"/>
        </w:rPr>
        <w:t>投标书目录</w:t>
      </w:r>
    </w:p>
    <w:tbl>
      <w:tblPr>
        <w:tblStyle w:val="42"/>
        <w:tblW w:w="9072" w:type="dxa"/>
        <w:jc w:val="center"/>
        <w:tblCellSpacing w:w="0" w:type="dxa"/>
        <w:tblLayout w:type="autofit"/>
        <w:tblCellMar>
          <w:top w:w="39" w:type="dxa"/>
          <w:left w:w="39" w:type="dxa"/>
          <w:bottom w:w="39" w:type="dxa"/>
          <w:right w:w="39" w:type="dxa"/>
        </w:tblCellMar>
      </w:tblPr>
      <w:tblGrid>
        <w:gridCol w:w="9072"/>
      </w:tblGrid>
      <w:tr>
        <w:tblPrEx>
          <w:tblCellMar>
            <w:top w:w="39" w:type="dxa"/>
            <w:left w:w="39" w:type="dxa"/>
            <w:bottom w:w="39" w:type="dxa"/>
            <w:right w:w="39" w:type="dxa"/>
          </w:tblCellMar>
        </w:tblPrEx>
        <w:trPr>
          <w:tblCellSpacing w:w="0" w:type="dxa"/>
          <w:jc w:val="center"/>
        </w:trPr>
        <w:tc>
          <w:tcPr>
            <w:tcW w:w="0" w:type="auto"/>
            <w:vAlign w:val="center"/>
          </w:tcPr>
          <w:p>
            <w:pPr>
              <w:widowControl/>
              <w:numPr>
                <w:ilvl w:val="0"/>
                <w:numId w:val="7"/>
              </w:numPr>
              <w:spacing w:before="100" w:beforeAutospacing="1" w:after="100" w:afterAutospacing="1"/>
              <w:jc w:val="left"/>
              <w:rPr>
                <w:szCs w:val="21"/>
              </w:rPr>
            </w:pPr>
            <w:r>
              <w:rPr>
                <w:szCs w:val="21"/>
              </w:rPr>
              <w:t>投标文件正文（信息公开部分）</w:t>
            </w:r>
          </w:p>
          <w:p>
            <w:pPr>
              <w:widowControl/>
              <w:numPr>
                <w:ilvl w:val="1"/>
                <w:numId w:val="7"/>
              </w:numPr>
              <w:spacing w:before="100" w:beforeAutospacing="1" w:after="100" w:afterAutospacing="1"/>
              <w:jc w:val="left"/>
              <w:rPr>
                <w:szCs w:val="21"/>
              </w:rPr>
            </w:pPr>
            <w:r>
              <w:rPr>
                <w:szCs w:val="21"/>
              </w:rPr>
              <w:t>投标函</w:t>
            </w:r>
          </w:p>
          <w:p>
            <w:pPr>
              <w:widowControl/>
              <w:numPr>
                <w:ilvl w:val="1"/>
                <w:numId w:val="7"/>
              </w:numPr>
              <w:spacing w:before="100" w:beforeAutospacing="1" w:after="100" w:afterAutospacing="1"/>
              <w:jc w:val="left"/>
              <w:rPr>
                <w:szCs w:val="21"/>
              </w:rPr>
            </w:pPr>
            <w:r>
              <w:rPr>
                <w:szCs w:val="21"/>
              </w:rPr>
              <w:t>政府采购投标及履约承诺函</w:t>
            </w:r>
          </w:p>
          <w:p>
            <w:pPr>
              <w:widowControl/>
              <w:numPr>
                <w:ilvl w:val="1"/>
                <w:numId w:val="7"/>
              </w:numPr>
              <w:spacing w:before="100" w:beforeAutospacing="1" w:after="100" w:afterAutospacing="1"/>
              <w:jc w:val="left"/>
              <w:rPr>
                <w:szCs w:val="21"/>
              </w:rPr>
            </w:pPr>
            <w:r>
              <w:rPr>
                <w:szCs w:val="21"/>
              </w:rPr>
              <w:t>投标人情况介绍及资格要求</w:t>
            </w:r>
          </w:p>
          <w:p>
            <w:pPr>
              <w:widowControl/>
              <w:numPr>
                <w:ilvl w:val="1"/>
                <w:numId w:val="7"/>
              </w:numPr>
              <w:spacing w:before="100" w:beforeAutospacing="1" w:after="100" w:afterAutospacing="1"/>
              <w:jc w:val="left"/>
              <w:rPr>
                <w:szCs w:val="21"/>
              </w:rPr>
            </w:pPr>
            <w:r>
              <w:rPr>
                <w:szCs w:val="21"/>
              </w:rPr>
              <w:t>投标人通过相关认证情况（格式自定）</w:t>
            </w:r>
          </w:p>
          <w:p>
            <w:pPr>
              <w:widowControl/>
              <w:numPr>
                <w:ilvl w:val="1"/>
                <w:numId w:val="7"/>
              </w:numPr>
              <w:spacing w:before="100" w:beforeAutospacing="1" w:after="100" w:afterAutospacing="1"/>
              <w:jc w:val="left"/>
              <w:rPr>
                <w:szCs w:val="21"/>
              </w:rPr>
            </w:pPr>
            <w:r>
              <w:rPr>
                <w:szCs w:val="21"/>
              </w:rPr>
              <w:t>投标人同类项目业绩情况（格式自定）</w:t>
            </w:r>
          </w:p>
          <w:p>
            <w:pPr>
              <w:widowControl/>
              <w:numPr>
                <w:ilvl w:val="1"/>
                <w:numId w:val="7"/>
              </w:numPr>
              <w:spacing w:before="100" w:beforeAutospacing="1" w:after="100" w:afterAutospacing="1"/>
              <w:jc w:val="left"/>
              <w:rPr>
                <w:szCs w:val="21"/>
              </w:rPr>
            </w:pPr>
            <w:r>
              <w:rPr>
                <w:szCs w:val="21"/>
              </w:rPr>
              <w:t>投标人获奖情况（格式自定）</w:t>
            </w:r>
          </w:p>
          <w:p>
            <w:pPr>
              <w:widowControl/>
              <w:numPr>
                <w:ilvl w:val="1"/>
                <w:numId w:val="7"/>
              </w:numPr>
              <w:spacing w:before="100" w:beforeAutospacing="1" w:after="100" w:afterAutospacing="1"/>
              <w:jc w:val="left"/>
              <w:rPr>
                <w:szCs w:val="21"/>
              </w:rPr>
            </w:pPr>
            <w:r>
              <w:rPr>
                <w:szCs w:val="21"/>
              </w:rPr>
              <w:t>拟安排的项目负责人情况（仅限一人）（格式自定）</w:t>
            </w:r>
          </w:p>
          <w:p>
            <w:pPr>
              <w:widowControl/>
              <w:numPr>
                <w:ilvl w:val="1"/>
                <w:numId w:val="7"/>
              </w:numPr>
              <w:spacing w:before="100" w:beforeAutospacing="1" w:after="100" w:afterAutospacing="1"/>
              <w:jc w:val="left"/>
              <w:rPr>
                <w:szCs w:val="21"/>
              </w:rPr>
            </w:pPr>
            <w:r>
              <w:rPr>
                <w:szCs w:val="21"/>
              </w:rPr>
              <w:t>拟安排的项目主要团队成员（主要技术人员）情况（项目负责人除外）（格式自定）</w:t>
            </w:r>
          </w:p>
          <w:p>
            <w:pPr>
              <w:widowControl/>
              <w:numPr>
                <w:ilvl w:val="1"/>
                <w:numId w:val="7"/>
              </w:numPr>
              <w:spacing w:before="100" w:beforeAutospacing="1" w:after="100" w:afterAutospacing="1"/>
              <w:jc w:val="left"/>
              <w:rPr>
                <w:szCs w:val="21"/>
              </w:rPr>
            </w:pPr>
            <w:r>
              <w:rPr>
                <w:szCs w:val="21"/>
              </w:rPr>
              <w:t>投标人自主知识产权产品（创新、设计）情况（格式自定）</w:t>
            </w:r>
          </w:p>
          <w:p>
            <w:pPr>
              <w:widowControl/>
              <w:numPr>
                <w:ilvl w:val="1"/>
                <w:numId w:val="7"/>
              </w:numPr>
              <w:spacing w:before="100" w:beforeAutospacing="1" w:after="100" w:afterAutospacing="1"/>
              <w:jc w:val="left"/>
              <w:rPr>
                <w:szCs w:val="21"/>
              </w:rPr>
            </w:pPr>
            <w:r>
              <w:rPr>
                <w:szCs w:val="21"/>
              </w:rPr>
              <w:t>项目拟使用的车辆、场地、工具、机器等情况（格式自定）</w:t>
            </w:r>
          </w:p>
          <w:p>
            <w:pPr>
              <w:widowControl/>
              <w:numPr>
                <w:ilvl w:val="1"/>
                <w:numId w:val="7"/>
              </w:numPr>
              <w:spacing w:before="100" w:beforeAutospacing="1" w:after="100" w:afterAutospacing="1"/>
              <w:jc w:val="left"/>
              <w:rPr>
                <w:szCs w:val="21"/>
              </w:rPr>
            </w:pPr>
            <w:r>
              <w:rPr>
                <w:szCs w:val="21"/>
              </w:rPr>
              <w:t>环保执行情况（格式自定）</w:t>
            </w:r>
          </w:p>
          <w:p>
            <w:pPr>
              <w:widowControl/>
              <w:numPr>
                <w:ilvl w:val="1"/>
                <w:numId w:val="7"/>
              </w:numPr>
              <w:spacing w:before="100" w:beforeAutospacing="1" w:after="100" w:afterAutospacing="1"/>
              <w:jc w:val="left"/>
              <w:rPr>
                <w:szCs w:val="21"/>
              </w:rPr>
            </w:pPr>
            <w:r>
              <w:rPr>
                <w:szCs w:val="21"/>
              </w:rPr>
              <w:t>服务网点（格式自定）</w:t>
            </w:r>
          </w:p>
          <w:p>
            <w:pPr>
              <w:widowControl/>
              <w:numPr>
                <w:ilvl w:val="1"/>
                <w:numId w:val="7"/>
              </w:numPr>
              <w:spacing w:before="100" w:beforeAutospacing="1" w:after="100" w:afterAutospacing="1"/>
              <w:jc w:val="left"/>
              <w:rPr>
                <w:szCs w:val="21"/>
              </w:rPr>
            </w:pPr>
            <w:r>
              <w:rPr>
                <w:szCs w:val="21"/>
              </w:rPr>
              <w:t>疫情防控重点保障企业（格式自定）</w:t>
            </w:r>
          </w:p>
          <w:p>
            <w:pPr>
              <w:widowControl/>
              <w:numPr>
                <w:ilvl w:val="1"/>
                <w:numId w:val="7"/>
              </w:numPr>
              <w:spacing w:before="100" w:beforeAutospacing="1" w:after="100" w:afterAutospacing="1"/>
              <w:jc w:val="left"/>
              <w:rPr>
                <w:szCs w:val="21"/>
              </w:rPr>
            </w:pPr>
            <w:r>
              <w:rPr>
                <w:szCs w:val="21"/>
              </w:rPr>
              <w:t>稳岗企业（格式自定）</w:t>
            </w:r>
          </w:p>
          <w:p>
            <w:pPr>
              <w:widowControl/>
              <w:numPr>
                <w:ilvl w:val="1"/>
                <w:numId w:val="7"/>
              </w:numPr>
              <w:spacing w:before="100" w:beforeAutospacing="1" w:after="100" w:afterAutospacing="1"/>
              <w:jc w:val="left"/>
              <w:rPr>
                <w:rFonts w:ascii="宋体" w:hAnsi="宋体" w:cs="宋体"/>
                <w:szCs w:val="21"/>
              </w:rPr>
            </w:pPr>
            <w:r>
              <w:rPr>
                <w:szCs w:val="21"/>
              </w:rPr>
              <w:t>其它招标文件要求的内容及投标人认为需要补充的内容（格式自定）</w:t>
            </w:r>
          </w:p>
        </w:tc>
      </w:tr>
    </w:tbl>
    <w:p>
      <w:pPr>
        <w:rPr>
          <w:rFonts w:ascii="宋体" w:hAnsi="宋体"/>
          <w:sz w:val="24"/>
        </w:rPr>
      </w:pPr>
    </w:p>
    <w:p>
      <w:pPr>
        <w:sectPr>
          <w:headerReference r:id="rId3" w:type="first"/>
          <w:footerReference r:id="rId4" w:type="default"/>
          <w:pgSz w:w="11907" w:h="16840"/>
          <w:pgMar w:top="1440" w:right="1417" w:bottom="1440" w:left="1417" w:header="851" w:footer="992" w:gutter="0"/>
          <w:cols w:space="425" w:num="1"/>
          <w:titlePg/>
          <w:docGrid w:type="lines" w:linePitch="462" w:charSpace="0"/>
        </w:sectPr>
      </w:pPr>
    </w:p>
    <w:p>
      <w:pPr>
        <w:jc w:val="center"/>
        <w:rPr>
          <w:b/>
          <w:sz w:val="120"/>
          <w:szCs w:val="120"/>
        </w:rPr>
      </w:pPr>
    </w:p>
    <w:p>
      <w:pPr>
        <w:jc w:val="center"/>
        <w:rPr>
          <w:b/>
          <w:sz w:val="120"/>
          <w:szCs w:val="120"/>
        </w:rPr>
      </w:pPr>
      <w:r>
        <w:rPr>
          <w:rFonts w:hint="eastAsia"/>
          <w:b/>
          <w:sz w:val="120"/>
          <w:szCs w:val="120"/>
        </w:rPr>
        <w:t>政府招标文件</w:t>
      </w:r>
    </w:p>
    <w:p>
      <w:pPr>
        <w:jc w:val="center"/>
        <w:rPr>
          <w:b/>
          <w:sz w:val="52"/>
          <w:szCs w:val="52"/>
        </w:rPr>
      </w:pPr>
      <w:r>
        <w:rPr>
          <w:rFonts w:hint="eastAsia"/>
          <w:b/>
          <w:sz w:val="52"/>
          <w:szCs w:val="52"/>
        </w:rPr>
        <w:t>（通用服务类）</w:t>
      </w:r>
    </w:p>
    <w:p/>
    <w:p/>
    <w:p/>
    <w:p/>
    <w:p/>
    <w:p/>
    <w:p/>
    <w:p/>
    <w:p/>
    <w:p>
      <w:pPr>
        <w:jc w:val="center"/>
        <w:rPr>
          <w:b/>
          <w:sz w:val="44"/>
          <w:szCs w:val="44"/>
        </w:rPr>
      </w:pPr>
      <w:r>
        <w:rPr>
          <w:rFonts w:hint="eastAsia"/>
          <w:b/>
          <w:sz w:val="44"/>
          <w:szCs w:val="44"/>
        </w:rPr>
        <w:t>中</w:t>
      </w:r>
      <w:r>
        <w:rPr>
          <w:rFonts w:hint="eastAsia" w:ascii="宋体" w:hAnsi="宋体"/>
          <w:b/>
          <w:sz w:val="44"/>
          <w:szCs w:val="44"/>
        </w:rPr>
        <w:t>国·</w:t>
      </w:r>
      <w:r>
        <w:rPr>
          <w:rFonts w:hint="eastAsia"/>
          <w:b/>
          <w:sz w:val="44"/>
          <w:szCs w:val="44"/>
        </w:rPr>
        <w:t>深圳</w:t>
      </w:r>
    </w:p>
    <w:p>
      <w:pPr>
        <w:jc w:val="center"/>
      </w:pPr>
    </w:p>
    <w:p>
      <w:pPr>
        <w:jc w:val="center"/>
      </w:pPr>
    </w:p>
    <w:p>
      <w:pPr>
        <w:jc w:val="center"/>
      </w:pPr>
    </w:p>
    <w:p>
      <w:pPr>
        <w:jc w:val="center"/>
      </w:pPr>
    </w:p>
    <w:p>
      <w:pPr>
        <w:jc w:val="center"/>
      </w:pPr>
    </w:p>
    <w:p>
      <w:pPr>
        <w:jc w:val="center"/>
      </w:pPr>
    </w:p>
    <w:p>
      <w:pPr>
        <w:jc w:val="center"/>
        <w:rPr>
          <w:sz w:val="28"/>
          <w:szCs w:val="28"/>
        </w:rPr>
      </w:pPr>
      <w:r>
        <w:rPr>
          <w:rFonts w:hint="eastAsia"/>
          <w:sz w:val="28"/>
          <w:szCs w:val="28"/>
        </w:rPr>
        <w:t>（</w:t>
      </w:r>
      <w:r>
        <w:rPr>
          <w:sz w:val="28"/>
          <w:szCs w:val="28"/>
        </w:rPr>
        <w:t>201</w:t>
      </w:r>
      <w:r>
        <w:rPr>
          <w:rFonts w:hint="eastAsia"/>
          <w:sz w:val="28"/>
          <w:szCs w:val="28"/>
        </w:rPr>
        <w:t>9年修订版）</w:t>
      </w:r>
    </w:p>
    <w:p>
      <w:pPr>
        <w:jc w:val="center"/>
      </w:pPr>
    </w:p>
    <w:p>
      <w:pPr>
        <w:rPr>
          <w:rFonts w:ascii="宋体" w:hAnsi="宋体" w:eastAsia="黑体"/>
          <w:b/>
          <w:bCs/>
          <w:kern w:val="44"/>
          <w:sz w:val="28"/>
          <w:szCs w:val="44"/>
        </w:rPr>
      </w:pPr>
    </w:p>
    <w:p>
      <w:pPr>
        <w:pStyle w:val="3"/>
        <w:rPr>
          <w:b/>
          <w:bCs/>
          <w:sz w:val="36"/>
          <w:szCs w:val="96"/>
        </w:rPr>
      </w:pPr>
      <w:r>
        <w:rPr>
          <w:rFonts w:hint="eastAsia"/>
          <w:b/>
          <w:bCs/>
          <w:sz w:val="36"/>
          <w:szCs w:val="96"/>
        </w:rPr>
        <w:t>警示条款</w:t>
      </w:r>
    </w:p>
    <w:p>
      <w:pPr>
        <w:ind w:firstLine="640" w:firstLineChars="200"/>
        <w:rPr>
          <w:rFonts w:ascii="宋体" w:hAnsi="宋体"/>
          <w:sz w:val="32"/>
          <w:szCs w:val="32"/>
        </w:rPr>
      </w:pPr>
      <w:r>
        <w:rPr>
          <w:rFonts w:hint="eastAsia" w:ascii="宋体" w:hAnsi="宋体"/>
          <w:sz w:val="32"/>
          <w:szCs w:val="32"/>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rPr>
          <w:rFonts w:ascii="宋体" w:hAnsi="宋体"/>
          <w:sz w:val="32"/>
          <w:szCs w:val="32"/>
        </w:rPr>
      </w:pPr>
      <w:r>
        <w:rPr>
          <w:rFonts w:hint="eastAsia" w:ascii="宋体" w:hAnsi="宋体"/>
          <w:sz w:val="32"/>
          <w:szCs w:val="32"/>
        </w:rPr>
        <w:t xml:space="preserve">  （一）在采购活动中应当回避而未回避的；</w:t>
      </w:r>
    </w:p>
    <w:p>
      <w:pPr>
        <w:rPr>
          <w:rFonts w:ascii="宋体" w:hAnsi="宋体"/>
          <w:sz w:val="32"/>
          <w:szCs w:val="32"/>
        </w:rPr>
      </w:pPr>
      <w:r>
        <w:rPr>
          <w:rFonts w:hint="eastAsia" w:ascii="宋体" w:hAnsi="宋体"/>
          <w:sz w:val="32"/>
          <w:szCs w:val="32"/>
        </w:rPr>
        <w:t xml:space="preserve">  （二）未按本条例规定签订、履行采购合同，造成严重后果的；</w:t>
      </w:r>
    </w:p>
    <w:p>
      <w:pPr>
        <w:rPr>
          <w:rFonts w:ascii="宋体" w:hAnsi="宋体"/>
          <w:sz w:val="32"/>
          <w:szCs w:val="32"/>
        </w:rPr>
      </w:pPr>
      <w:r>
        <w:rPr>
          <w:rFonts w:hint="eastAsia" w:ascii="宋体" w:hAnsi="宋体"/>
          <w:sz w:val="32"/>
          <w:szCs w:val="32"/>
        </w:rPr>
        <w:t xml:space="preserve">  （三）隐瞒真实情况，提供虚假资料的；</w:t>
      </w:r>
    </w:p>
    <w:p>
      <w:pPr>
        <w:rPr>
          <w:rFonts w:ascii="宋体" w:hAnsi="宋体"/>
          <w:sz w:val="32"/>
          <w:szCs w:val="32"/>
        </w:rPr>
      </w:pPr>
      <w:r>
        <w:rPr>
          <w:rFonts w:hint="eastAsia" w:ascii="宋体" w:hAnsi="宋体"/>
          <w:sz w:val="32"/>
          <w:szCs w:val="32"/>
        </w:rPr>
        <w:t xml:space="preserve">  （四）以非法手段排斥其他供应商参与竞争的；</w:t>
      </w:r>
    </w:p>
    <w:p>
      <w:pPr>
        <w:rPr>
          <w:rFonts w:ascii="宋体" w:hAnsi="宋体"/>
          <w:sz w:val="32"/>
          <w:szCs w:val="32"/>
        </w:rPr>
      </w:pPr>
      <w:r>
        <w:rPr>
          <w:rFonts w:hint="eastAsia" w:ascii="宋体" w:hAnsi="宋体"/>
          <w:sz w:val="32"/>
          <w:szCs w:val="32"/>
        </w:rPr>
        <w:t xml:space="preserve">  （五）与其他采购参加人串通投标的；</w:t>
      </w:r>
    </w:p>
    <w:p>
      <w:pPr>
        <w:rPr>
          <w:rFonts w:ascii="宋体" w:hAnsi="宋体"/>
          <w:sz w:val="32"/>
          <w:szCs w:val="32"/>
        </w:rPr>
      </w:pPr>
      <w:r>
        <w:rPr>
          <w:rFonts w:hint="eastAsia" w:ascii="宋体" w:hAnsi="宋体"/>
          <w:sz w:val="32"/>
          <w:szCs w:val="32"/>
        </w:rPr>
        <w:t xml:space="preserve">  （六）恶意投诉的；</w:t>
      </w:r>
    </w:p>
    <w:p>
      <w:pPr>
        <w:rPr>
          <w:rFonts w:ascii="宋体" w:hAnsi="宋体"/>
          <w:sz w:val="32"/>
          <w:szCs w:val="32"/>
        </w:rPr>
      </w:pPr>
      <w:r>
        <w:rPr>
          <w:rFonts w:hint="eastAsia" w:ascii="宋体" w:hAnsi="宋体"/>
          <w:sz w:val="32"/>
          <w:szCs w:val="32"/>
        </w:rPr>
        <w:t xml:space="preserve">  （七）向采购项目相关人行贿或者提供其他不当利益的；</w:t>
      </w:r>
    </w:p>
    <w:p>
      <w:pPr>
        <w:rPr>
          <w:rFonts w:ascii="宋体" w:hAnsi="宋体"/>
          <w:sz w:val="32"/>
          <w:szCs w:val="32"/>
        </w:rPr>
      </w:pPr>
      <w:r>
        <w:rPr>
          <w:rFonts w:hint="eastAsia" w:ascii="宋体" w:hAnsi="宋体"/>
          <w:sz w:val="32"/>
          <w:szCs w:val="32"/>
        </w:rPr>
        <w:t xml:space="preserve">  （八）阻碍、抗拒主管部门监督检查的；</w:t>
      </w:r>
    </w:p>
    <w:p>
      <w:pPr>
        <w:rPr>
          <w:rFonts w:ascii="宋体" w:hAnsi="宋体"/>
          <w:sz w:val="32"/>
          <w:szCs w:val="32"/>
        </w:rPr>
      </w:pPr>
      <w:r>
        <w:rPr>
          <w:rFonts w:hint="eastAsia" w:ascii="宋体" w:hAnsi="宋体"/>
          <w:sz w:val="32"/>
          <w:szCs w:val="32"/>
        </w:rPr>
        <w:t xml:space="preserve">  （九）其他违反本条例规定的行为。</w:t>
      </w:r>
    </w:p>
    <w:p>
      <w:pPr>
        <w:rPr>
          <w:rFonts w:ascii="宋体" w:hAnsi="宋体"/>
          <w:sz w:val="32"/>
          <w:szCs w:val="32"/>
        </w:rPr>
      </w:pPr>
    </w:p>
    <w:p>
      <w:pPr>
        <w:rPr>
          <w:rFonts w:ascii="宋体" w:hAnsi="宋体"/>
          <w:sz w:val="32"/>
          <w:szCs w:val="32"/>
        </w:rPr>
      </w:pPr>
      <w:r>
        <w:rPr>
          <w:rFonts w:hint="eastAsia" w:ascii="宋体" w:hAnsi="宋体"/>
          <w:sz w:val="32"/>
          <w:szCs w:val="32"/>
        </w:rPr>
        <w:t xml:space="preserve">    二、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pPr>
        <w:rPr>
          <w:rFonts w:ascii="宋体" w:hAnsi="宋体"/>
          <w:sz w:val="32"/>
          <w:szCs w:val="32"/>
        </w:rPr>
      </w:pPr>
      <w:r>
        <w:rPr>
          <w:rFonts w:hint="eastAsia" w:ascii="宋体" w:hAnsi="宋体"/>
          <w:sz w:val="32"/>
          <w:szCs w:val="32"/>
        </w:rPr>
        <w:t xml:space="preserve">    </w:t>
      </w:r>
      <w:r>
        <w:rPr>
          <w:rFonts w:ascii="宋体" w:hAnsi="宋体"/>
          <w:sz w:val="32"/>
          <w:szCs w:val="32"/>
        </w:rPr>
        <w:t>（一）投标截止后，撤销投标的；</w:t>
      </w:r>
    </w:p>
    <w:p>
      <w:pPr>
        <w:rPr>
          <w:rFonts w:ascii="宋体" w:hAnsi="宋体"/>
          <w:sz w:val="32"/>
          <w:szCs w:val="32"/>
        </w:rPr>
      </w:pPr>
      <w:r>
        <w:rPr>
          <w:rFonts w:ascii="宋体" w:hAnsi="宋体"/>
          <w:sz w:val="32"/>
          <w:szCs w:val="32"/>
        </w:rPr>
        <w:t>　　（二）中标后无正当理由未在规定期限内签订合同的；</w:t>
      </w:r>
    </w:p>
    <w:p>
      <w:pPr>
        <w:rPr>
          <w:rFonts w:ascii="宋体" w:hAnsi="宋体"/>
          <w:sz w:val="32"/>
          <w:szCs w:val="32"/>
        </w:rPr>
      </w:pPr>
      <w:r>
        <w:rPr>
          <w:rFonts w:ascii="宋体" w:hAnsi="宋体"/>
          <w:sz w:val="32"/>
          <w:szCs w:val="32"/>
        </w:rPr>
        <w:t>　　（三）将中标项目转让给他人、或者在投标文件中未说明且未经采购人、采购招标机构同意，将中标项目分包给他人的；</w:t>
      </w:r>
    </w:p>
    <w:p>
      <w:pPr>
        <w:rPr>
          <w:rFonts w:ascii="宋体" w:hAnsi="宋体"/>
          <w:sz w:val="32"/>
          <w:szCs w:val="32"/>
        </w:rPr>
      </w:pPr>
      <w:r>
        <w:rPr>
          <w:rFonts w:ascii="宋体" w:hAnsi="宋体"/>
          <w:sz w:val="32"/>
          <w:szCs w:val="32"/>
        </w:rPr>
        <w:t>　　（四）拒绝履行合同义务的</w:t>
      </w:r>
      <w:r>
        <w:rPr>
          <w:rFonts w:hint="eastAsia" w:ascii="宋体" w:hAnsi="宋体"/>
          <w:sz w:val="32"/>
          <w:szCs w:val="32"/>
        </w:rPr>
        <w:t>。</w:t>
      </w:r>
    </w:p>
    <w:p>
      <w:pPr>
        <w:rPr>
          <w:rFonts w:ascii="宋体" w:hAnsi="宋体"/>
          <w:sz w:val="32"/>
          <w:szCs w:val="32"/>
        </w:rPr>
      </w:pPr>
    </w:p>
    <w:p>
      <w:pPr>
        <w:widowControl/>
        <w:jc w:val="left"/>
        <w:rPr>
          <w:rFonts w:ascii="宋体" w:hAnsi="宋体"/>
          <w:sz w:val="32"/>
          <w:szCs w:val="32"/>
        </w:rPr>
      </w:pPr>
      <w:r>
        <w:rPr>
          <w:rFonts w:ascii="宋体" w:hAnsi="宋体"/>
          <w:sz w:val="32"/>
          <w:szCs w:val="32"/>
        </w:rPr>
        <w:br w:type="page"/>
      </w:r>
    </w:p>
    <w:p>
      <w:pPr>
        <w:pStyle w:val="6"/>
        <w:jc w:val="center"/>
        <w:rPr>
          <w:rFonts w:ascii="宋体" w:hAnsi="宋体" w:eastAsia="宋体"/>
          <w:szCs w:val="32"/>
        </w:rPr>
      </w:pPr>
      <w:r>
        <w:rPr>
          <w:rFonts w:hint="eastAsia" w:ascii="宋体" w:hAnsi="宋体" w:eastAsia="宋体"/>
          <w:szCs w:val="32"/>
        </w:rPr>
        <w:t>其它关键信息</w:t>
      </w:r>
    </w:p>
    <w:p>
      <w:pPr>
        <w:ind w:firstLine="3268" w:firstLineChars="1550"/>
        <w:rPr>
          <w:b/>
        </w:rPr>
      </w:pPr>
      <w:r>
        <w:rPr>
          <w:rFonts w:hint="eastAsia"/>
          <w:b/>
        </w:rPr>
        <w:t xml:space="preserve"> 一、评标定标信息</w:t>
      </w:r>
    </w:p>
    <w:p>
      <w:r>
        <w:rPr>
          <w:rFonts w:hint="eastAsia"/>
        </w:rPr>
        <w:t xml:space="preserve">                               </w:t>
      </w:r>
      <w:r>
        <w:rPr>
          <w:rFonts w:hint="eastAsia"/>
          <w:b/>
        </w:rPr>
        <w:t>非评定分离项目</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评标方法</w:t>
            </w:r>
          </w:p>
        </w:tc>
        <w:tc>
          <w:tcPr>
            <w:tcW w:w="4265" w:type="dxa"/>
          </w:tcPr>
          <w:p>
            <w:pPr>
              <w:jc w:val="cente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中标供应商家数</w:t>
            </w:r>
          </w:p>
        </w:tc>
        <w:tc>
          <w:tcPr>
            <w:tcW w:w="4265" w:type="dxa"/>
          </w:tcPr>
          <w:p>
            <w:pPr>
              <w:jc w:val="center"/>
            </w:pPr>
            <w:r>
              <w:rPr>
                <w:rFonts w:hint="eastAsia"/>
              </w:rPr>
              <w:t>1</w:t>
            </w:r>
          </w:p>
        </w:tc>
      </w:tr>
    </w:tbl>
    <w:p/>
    <w:p>
      <w:pPr>
        <w:rPr>
          <w:b/>
        </w:rPr>
      </w:pPr>
      <w:r>
        <w:rPr>
          <w:rFonts w:hint="eastAsia"/>
        </w:rPr>
        <w:t xml:space="preserve"> </w:t>
      </w:r>
      <w:r>
        <w:rPr>
          <w:rFonts w:hint="eastAsia"/>
          <w:b/>
        </w:rPr>
        <w:t xml:space="preserve">                  二、关于享受优惠政策的主体及价格扣除比例</w:t>
      </w:r>
    </w:p>
    <w:p>
      <w:r>
        <w:rPr>
          <w:rFonts w:hint="eastAsia"/>
        </w:rPr>
        <w:t xml:space="preserve">    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__</w:t>
      </w:r>
      <w:r>
        <w:rPr>
          <w:rFonts w:hint="eastAsia"/>
          <w:u w:val="single"/>
        </w:rPr>
        <w:t>10</w:t>
      </w:r>
      <w:r>
        <w:rPr>
          <w:rFonts w:hint="eastAsia"/>
        </w:rPr>
        <w:t>__%后参与评审。对于同时属于</w:t>
      </w:r>
      <w:r>
        <w:rPr>
          <w:rFonts w:hint="eastAsia"/>
          <w:b/>
        </w:rPr>
        <w:t>小微企业</w:t>
      </w:r>
      <w:r>
        <w:rPr>
          <w:rFonts w:hint="eastAsia"/>
        </w:rPr>
        <w:t>、监狱企业或残疾人福利性单位的，不重复进行投标报价扣除。如有其它政策支持因素（如鼓励创新等）需一并列出。</w:t>
      </w:r>
    </w:p>
    <w:p>
      <w:r>
        <w:rPr>
          <w:rFonts w:hint="eastAsia"/>
        </w:rPr>
        <w:t xml:space="preserve">    2.联合协议中约定，</w:t>
      </w:r>
      <w:r>
        <w:rPr>
          <w:rFonts w:hint="eastAsia"/>
          <w:b/>
        </w:rPr>
        <w:t>小型、微型企业</w:t>
      </w:r>
      <w:r>
        <w:rPr>
          <w:rFonts w:hint="eastAsia"/>
        </w:rPr>
        <w:t>和监狱企业的协议合同金额占到联合体协议合同总金额30%以上的，可给予联合体_/__%</w:t>
      </w:r>
      <w:r>
        <w:t xml:space="preserve"> </w:t>
      </w:r>
      <w:r>
        <w:rPr>
          <w:rFonts w:hint="eastAsia"/>
        </w:rPr>
        <w:t>的价格扣除。</w:t>
      </w:r>
    </w:p>
    <w:p>
      <w:r>
        <w:rPr>
          <w:rFonts w:hint="eastAsia"/>
        </w:rPr>
        <w:t xml:space="preserve">    联合体各方均为</w:t>
      </w:r>
      <w:r>
        <w:rPr>
          <w:rFonts w:hint="eastAsia"/>
          <w:b/>
        </w:rPr>
        <w:t>小型、微型企业</w:t>
      </w:r>
      <w:r>
        <w:rPr>
          <w:rFonts w:hint="eastAsia"/>
        </w:rPr>
        <w:t>和监狱企业的，联合体视同为小型、微型企业和监狱企业，均享受</w:t>
      </w:r>
      <w:r>
        <w:rPr>
          <w:rFonts w:hint="eastAsia"/>
          <w:b/>
          <w:bCs/>
        </w:rPr>
        <w:t>评标优惠政策</w:t>
      </w:r>
      <w:r>
        <w:rPr>
          <w:rFonts w:hint="eastAsia"/>
        </w:rPr>
        <w:t>第一款的优惠政策。</w:t>
      </w:r>
    </w:p>
    <w:p/>
    <w:p>
      <w:pPr>
        <w:jc w:val="center"/>
      </w:pPr>
      <w:r>
        <w:rPr>
          <w:rFonts w:hint="eastAsia"/>
          <w:b/>
        </w:rPr>
        <w:t>三、关于失信供应商的价格上浮</w:t>
      </w:r>
    </w:p>
    <w:p>
      <w:pPr>
        <w:widowControl/>
        <w:ind w:firstLine="420" w:firstLineChars="200"/>
        <w:jc w:val="left"/>
      </w:pPr>
      <w:r>
        <w:rPr>
          <w:rFonts w:hint="eastAsia"/>
        </w:rPr>
        <w:t>根据《深圳市财政委员会关于印发〈深圳市政府采购供应商诚信管理暂行办法操作细则〉的通知》（深财购〔</w:t>
      </w:r>
      <w:r>
        <w:t>2017</w:t>
      </w:r>
      <w:r>
        <w:rPr>
          <w:rFonts w:hint="eastAsia"/>
        </w:rPr>
        <w:t>〕</w:t>
      </w:r>
      <w:r>
        <w:t xml:space="preserve">42 </w:t>
      </w:r>
      <w:r>
        <w:rPr>
          <w:rFonts w:hint="eastAsia"/>
        </w:rPr>
        <w:t>号）的规定，采取价格评比法（比如最低价法）的项目，因违法违规行为被记入诚信档案的失信供应商最终报价在该企业最后一轮报价的基础上上浮</w:t>
      </w:r>
      <w:r>
        <w:t>10%</w:t>
      </w:r>
      <w:r>
        <w:rPr>
          <w:rFonts w:hint="eastAsia"/>
        </w:rPr>
        <w:t>。失信供应商符合优惠主体资格的，价格扣除和价格上浮一并执行。</w:t>
      </w:r>
    </w:p>
    <w:p>
      <w:pPr>
        <w:widowControl/>
        <w:jc w:val="left"/>
      </w:pPr>
    </w:p>
    <w:p>
      <w:pPr>
        <w:jc w:val="center"/>
        <w:rPr>
          <w:b/>
        </w:rPr>
      </w:pPr>
      <w:r>
        <w:rPr>
          <w:rFonts w:hint="eastAsia"/>
          <w:b/>
        </w:rPr>
        <w:t>四、其他说明</w:t>
      </w:r>
    </w:p>
    <w:p>
      <w:pPr>
        <w:widowControl/>
        <w:ind w:firstLine="420" w:firstLineChars="200"/>
        <w:jc w:val="left"/>
      </w:pPr>
      <w:r>
        <w:rPr>
          <w:rFonts w:hint="eastAsia"/>
        </w:rPr>
        <w:t>1.根据《深圳市财政局 深圳市政府采购中心关于印发&lt;深圳市政府采购落实支持企业复工复产政策的实施细则&gt;的通知》（深府购〔</w:t>
      </w:r>
      <w:r>
        <w:t>20</w:t>
      </w:r>
      <w:r>
        <w:rPr>
          <w:rFonts w:hint="eastAsia"/>
        </w:rPr>
        <w:t>20〕24号）的规定，1.取消社保证明。对于评审时需考察人员情况的政府采购项目，投标人无需提供人员社保证明。该标准执行至2020年12月31日；2.顺延既有认证证书有效期。对于评审时需考察投标人资质、认证等情况的政府采购项目，投标人提供的证书已到期的（到期时间为2020年1月1日至2020年6月30日），视同在有效期范围内；3.鼓励采购人积极运用公共信用信息，明确对信用记录良好的投标人（特别是中小微企业）免收履约保证金，确需收取履约保证金的，列明通过保函等非现金方式收取；4.在采购合同中明确对上述企业加大首付款或预付款比例，具体由采购人根据项目实际情况确定。</w:t>
      </w:r>
    </w:p>
    <w:p>
      <w:pPr>
        <w:widowControl/>
        <w:ind w:firstLine="420" w:firstLineChars="200"/>
        <w:jc w:val="left"/>
      </w:pPr>
      <w:r>
        <w:rPr>
          <w:rFonts w:hint="eastAsia"/>
        </w:rPr>
        <w:t>2.采购人拟采购的服务（工程）中，如涉及《关于调整优化节能产品环境标志产品政府采购执行机制的通知》（财库〔2019〕9号）中的产品，要依据该通知要求执行。</w:t>
      </w:r>
    </w:p>
    <w:p>
      <w:pPr>
        <w:widowControl/>
        <w:jc w:val="left"/>
      </w:pPr>
      <w:r>
        <w:br w:type="page"/>
      </w:r>
    </w:p>
    <w:p>
      <w:pPr>
        <w:pStyle w:val="3"/>
        <w:rPr>
          <w:b/>
          <w:bCs/>
          <w:sz w:val="28"/>
          <w:szCs w:val="56"/>
        </w:rPr>
      </w:pPr>
      <w:r>
        <w:rPr>
          <w:rFonts w:hint="eastAsia"/>
          <w:b/>
          <w:bCs/>
          <w:sz w:val="28"/>
          <w:szCs w:val="56"/>
        </w:rPr>
        <w:t>目   录</w:t>
      </w:r>
    </w:p>
    <w:p>
      <w:pPr>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第二章  招标项目需求</w:t>
      </w:r>
    </w:p>
    <w:p>
      <w:pPr>
        <w:ind w:left="630" w:leftChars="300" w:firstLine="630" w:firstLineChars="300"/>
        <w:rPr>
          <w:rFonts w:ascii="宋体" w:hAnsi="宋体"/>
          <w:szCs w:val="21"/>
        </w:rPr>
      </w:pPr>
      <w:r>
        <w:rPr>
          <w:rFonts w:hint="eastAsia" w:ascii="宋体" w:hAnsi="宋体"/>
          <w:szCs w:val="21"/>
        </w:rPr>
        <w:t>第三章  投标文件格式、附件</w:t>
      </w:r>
    </w:p>
    <w:p>
      <w:pPr>
        <w:ind w:left="630" w:leftChars="300" w:firstLine="630" w:firstLineChars="300"/>
        <w:rPr>
          <w:rFonts w:ascii="宋体" w:hAnsi="宋体"/>
          <w:szCs w:val="21"/>
        </w:rPr>
      </w:pPr>
      <w:r>
        <w:rPr>
          <w:rFonts w:hint="eastAsia" w:ascii="宋体" w:hAnsi="宋体"/>
          <w:szCs w:val="21"/>
        </w:rPr>
        <w:t>第四章  政府采购合同的签订、履行及验收</w:t>
      </w:r>
    </w:p>
    <w:p>
      <w:pPr>
        <w:rPr>
          <w:b/>
          <w:sz w:val="24"/>
        </w:rPr>
      </w:pPr>
    </w:p>
    <w:p>
      <w:pPr>
        <w:rPr>
          <w:b/>
          <w:sz w:val="24"/>
        </w:rPr>
      </w:pPr>
      <w:r>
        <w:rPr>
          <w:rFonts w:hint="eastAsia"/>
          <w:b/>
          <w:sz w:val="24"/>
        </w:rPr>
        <w:t>第二册  通用条款</w:t>
      </w:r>
    </w:p>
    <w:p>
      <w:pPr>
        <w:rPr>
          <w:sz w:val="24"/>
        </w:rPr>
      </w:pPr>
      <w:r>
        <w:rPr>
          <w:rFonts w:hint="eastAsia"/>
          <w:sz w:val="24"/>
        </w:rPr>
        <w:t xml:space="preserve">    </w:t>
      </w:r>
    </w:p>
    <w:p>
      <w:pPr>
        <w:rPr>
          <w:rFonts w:ascii="宋体" w:hAnsi="宋体"/>
          <w:szCs w:val="21"/>
        </w:rPr>
      </w:pPr>
      <w:r>
        <w:rPr>
          <w:rFonts w:hint="eastAsia"/>
          <w:sz w:val="24"/>
        </w:rPr>
        <w:t xml:space="preserve">    </w:t>
      </w:r>
      <w:r>
        <w:rPr>
          <w:rFonts w:hint="eastAsia" w:ascii="宋体" w:hAnsi="宋体"/>
          <w:szCs w:val="21"/>
        </w:rPr>
        <w:t>通用条款内容可在深圳市政府采购中心网站（</w:t>
      </w:r>
      <w:r>
        <w:rPr>
          <w:rFonts w:ascii="宋体" w:hAnsi="宋体"/>
          <w:szCs w:val="21"/>
        </w:rPr>
        <w:t>http://cgzx.sz.gov.cn/</w:t>
      </w:r>
      <w:r>
        <w:rPr>
          <w:rFonts w:hint="eastAsia" w:ascii="宋体" w:hAnsi="宋体"/>
          <w:szCs w:val="21"/>
        </w:rPr>
        <w:t>）以下栏目中查看（两处均可）：</w:t>
      </w:r>
    </w:p>
    <w:p>
      <w:r>
        <w:rPr>
          <w:rFonts w:hint="eastAsia"/>
        </w:rPr>
        <w:t xml:space="preserve">     </w:t>
      </w: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,1)</w:instrText>
      </w:r>
      <w:r>
        <w:fldChar w:fldCharType="end"/>
      </w:r>
      <w:r>
        <w:rPr>
          <w:rFonts w:hint="eastAsia" w:ascii="宋体" w:hAnsi="宋体"/>
          <w:szCs w:val="21"/>
        </w:rPr>
        <w:t>“业务服务”—“面向供应商”—“采购文件模板”；</w:t>
      </w:r>
    </w:p>
    <w:p>
      <w:r>
        <w:rPr>
          <w:rFonts w:hint="eastAsia"/>
        </w:rPr>
        <w:t xml:space="preserve">     </w:t>
      </w: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,2)</w:instrText>
      </w:r>
      <w:r>
        <w:fldChar w:fldCharType="end"/>
      </w:r>
      <w:r>
        <w:rPr>
          <w:rFonts w:hint="eastAsia" w:ascii="宋体" w:hAnsi="宋体"/>
          <w:szCs w:val="21"/>
        </w:rPr>
        <w:t>“业务服务”—“面向采购人”—“采购文件模板”。</w:t>
      </w:r>
    </w:p>
    <w:p>
      <w:pPr>
        <w:widowControl/>
        <w:jc w:val="left"/>
        <w:rPr>
          <w:rFonts w:ascii="宋体" w:hAnsi="宋体"/>
          <w:szCs w:val="21"/>
        </w:rPr>
      </w:pPr>
    </w:p>
    <w:p>
      <w:pPr>
        <w:rPr>
          <w:b/>
        </w:rPr>
      </w:pPr>
      <w:r>
        <w:rPr>
          <w:rFonts w:hint="eastAsia"/>
          <w:b/>
        </w:rPr>
        <w:t>备注：</w:t>
      </w:r>
    </w:p>
    <w:p>
      <w:pPr>
        <w:ind w:firstLine="420" w:firstLineChars="200"/>
        <w:rPr>
          <w:b/>
        </w:rPr>
      </w:pPr>
      <w:r>
        <w:rPr>
          <w:rFonts w:hint="eastAsia" w:ascii="宋体" w:hAnsi="宋体"/>
          <w:szCs w:val="21"/>
        </w:rPr>
        <w:t>1.本招标文件分为第一册“专用条款”和第二册“通用条款”。</w:t>
      </w:r>
    </w:p>
    <w:p>
      <w:pPr>
        <w:spacing w:line="360" w:lineRule="auto"/>
        <w:ind w:firstLine="420" w:firstLineChars="200"/>
        <w:jc w:val="left"/>
        <w:rPr>
          <w:rFonts w:ascii="宋体" w:hAnsi="宋体"/>
          <w:szCs w:val="21"/>
        </w:rPr>
      </w:pPr>
      <w:r>
        <w:rPr>
          <w:rFonts w:hint="eastAsia" w:ascii="宋体" w:hAnsi="宋体"/>
          <w:szCs w:val="21"/>
        </w:rPr>
        <w:t>2.“专用条款”是对本次采购项目的具体要求，包含招标公告、招标项目需求、投标文件格式、合同条款及格式、附件等内容。</w:t>
      </w:r>
    </w:p>
    <w:p>
      <w:pPr>
        <w:spacing w:line="360" w:lineRule="auto"/>
        <w:ind w:firstLine="420" w:firstLineChars="200"/>
        <w:jc w:val="left"/>
        <w:rPr>
          <w:rFonts w:ascii="宋体" w:hAnsi="宋体"/>
          <w:szCs w:val="21"/>
        </w:rPr>
      </w:pPr>
      <w:r>
        <w:rPr>
          <w:rFonts w:hint="eastAsia" w:ascii="宋体" w:hAnsi="宋体"/>
          <w:szCs w:val="21"/>
        </w:rPr>
        <w:t>3.“通用条款”是通用于政府采购项目的基础性条款，具有普遍性和通用性。</w:t>
      </w:r>
    </w:p>
    <w:p>
      <w:r>
        <w:rPr>
          <w:rFonts w:hint="eastAsia" w:ascii="宋体" w:hAnsi="宋体"/>
          <w:szCs w:val="21"/>
        </w:rPr>
        <w:t>4.当出现“专用条款”和“通用条款”表述不一致或有冲突时，以“专用条款”为准。</w:t>
      </w:r>
    </w:p>
    <w:p>
      <w:pPr>
        <w:pStyle w:val="3"/>
        <w:rPr>
          <w:b/>
          <w:bCs/>
          <w:sz w:val="36"/>
          <w:szCs w:val="56"/>
        </w:rPr>
      </w:pPr>
      <w:r>
        <w:br w:type="page"/>
      </w:r>
      <w:bookmarkStart w:id="0" w:name="bt合同条款"/>
      <w:bookmarkEnd w:id="0"/>
      <w:bookmarkStart w:id="1" w:name="bt投标函"/>
      <w:bookmarkEnd w:id="1"/>
      <w:bookmarkStart w:id="2" w:name="bt开标一览表"/>
      <w:bookmarkEnd w:id="2"/>
      <w:bookmarkStart w:id="3" w:name="bt本工程承诺书"/>
      <w:bookmarkEnd w:id="3"/>
      <w:bookmarkStart w:id="4" w:name="bt投标报价汇总表"/>
      <w:bookmarkEnd w:id="4"/>
      <w:bookmarkStart w:id="5" w:name="合同格式"/>
      <w:bookmarkEnd w:id="5"/>
      <w:bookmarkStart w:id="6" w:name="bt商务标投标文件格式"/>
      <w:bookmarkEnd w:id="6"/>
      <w:bookmarkStart w:id="7" w:name="bt说明"/>
      <w:bookmarkEnd w:id="7"/>
      <w:bookmarkStart w:id="8" w:name="bt项目管理班子配备情况"/>
      <w:bookmarkEnd w:id="8"/>
      <w:bookmarkStart w:id="9" w:name="bt投标人须知"/>
      <w:bookmarkEnd w:id="9"/>
      <w:bookmarkStart w:id="10" w:name="bt合同条款及格式"/>
      <w:bookmarkEnd w:id="10"/>
      <w:bookmarkStart w:id="11" w:name="bt其他资料由投标人自定"/>
      <w:bookmarkEnd w:id="11"/>
      <w:bookmarkStart w:id="12" w:name="bt投标文件签署授权委托书"/>
      <w:bookmarkEnd w:id="12"/>
      <w:bookmarkStart w:id="13" w:name="bt投标人情况介绍"/>
      <w:bookmarkEnd w:id="13"/>
      <w:bookmarkStart w:id="14" w:name="bt其他资料2"/>
      <w:bookmarkEnd w:id="14"/>
      <w:bookmarkStart w:id="15" w:name="bt技术标投标文件格式"/>
      <w:bookmarkEnd w:id="15"/>
      <w:bookmarkStart w:id="16" w:name="bt合同格式"/>
      <w:bookmarkEnd w:id="16"/>
      <w:r>
        <w:rPr>
          <w:rFonts w:hint="eastAsia"/>
          <w:b/>
          <w:bCs/>
          <w:sz w:val="28"/>
          <w:szCs w:val="56"/>
        </w:rPr>
        <w:t>第一册  专用条款</w:t>
      </w:r>
    </w:p>
    <w:p>
      <w:pPr>
        <w:pStyle w:val="5"/>
        <w:rPr>
          <w:b/>
          <w:bCs/>
        </w:rPr>
      </w:pPr>
      <w:r>
        <w:rPr>
          <w:rFonts w:hint="eastAsia"/>
          <w:b/>
          <w:bCs/>
        </w:rPr>
        <w:t>第一章  招标公告</w:t>
      </w:r>
    </w:p>
    <w:p>
      <w:pPr>
        <w:spacing w:line="340" w:lineRule="exact"/>
        <w:ind w:firstLine="420" w:firstLineChars="200"/>
      </w:pPr>
      <w:r>
        <w:rPr>
          <w:rFonts w:hint="eastAsia"/>
        </w:rPr>
        <w:t>深圳市智慧口岸总体规划设计服务项目</w:t>
      </w:r>
      <w:r>
        <w:rPr>
          <w:rFonts w:hAnsi="宋体"/>
        </w:rPr>
        <w:t>的潜在投标人应在</w:t>
      </w:r>
      <w:r>
        <w:rPr>
          <w:rFonts w:hint="eastAsia" w:hAnsi="宋体"/>
        </w:rPr>
        <w:t>（本公告附件中）</w:t>
      </w:r>
      <w:r>
        <w:rPr>
          <w:rFonts w:hAnsi="宋体"/>
        </w:rPr>
        <w:t>获取采购文件，并于</w:t>
      </w:r>
      <w:r>
        <w:rPr>
          <w:color w:val="0000FF"/>
        </w:rPr>
        <w:t>2020</w:t>
      </w:r>
      <w:r>
        <w:rPr>
          <w:rFonts w:hAnsi="宋体"/>
          <w:bCs/>
          <w:color w:val="0000FF"/>
        </w:rPr>
        <w:t>年</w:t>
      </w:r>
      <w:r>
        <w:rPr>
          <w:rFonts w:hint="eastAsia"/>
          <w:bCs/>
          <w:color w:val="0000FF"/>
        </w:rPr>
        <w:t>11</w:t>
      </w:r>
      <w:r>
        <w:rPr>
          <w:rFonts w:hAnsi="宋体"/>
          <w:bCs/>
          <w:color w:val="0000FF"/>
        </w:rPr>
        <w:t>月</w:t>
      </w:r>
      <w:r>
        <w:rPr>
          <w:rFonts w:hint="eastAsia"/>
          <w:bCs/>
          <w:color w:val="0000FF"/>
        </w:rPr>
        <w:t>4</w:t>
      </w:r>
      <w:r>
        <w:rPr>
          <w:rFonts w:hAnsi="宋体"/>
          <w:bCs/>
          <w:color w:val="0000FF"/>
        </w:rPr>
        <w:t>日</w:t>
      </w:r>
      <w:r>
        <w:rPr>
          <w:rFonts w:hint="eastAsia"/>
          <w:bCs/>
          <w:color w:val="0000FF"/>
        </w:rPr>
        <w:t>09</w:t>
      </w:r>
      <w:r>
        <w:rPr>
          <w:rFonts w:hAnsi="宋体"/>
          <w:bCs/>
          <w:color w:val="0000FF"/>
        </w:rPr>
        <w:t>点</w:t>
      </w:r>
      <w:r>
        <w:rPr>
          <w:rFonts w:hint="eastAsia"/>
          <w:bCs/>
          <w:color w:val="0000FF"/>
        </w:rPr>
        <w:t>3</w:t>
      </w:r>
      <w:r>
        <w:rPr>
          <w:bCs/>
          <w:color w:val="0000FF"/>
        </w:rPr>
        <w:t>0</w:t>
      </w:r>
      <w:r>
        <w:rPr>
          <w:rFonts w:hAnsi="宋体"/>
          <w:bCs/>
          <w:color w:val="0000FF"/>
        </w:rPr>
        <w:t>分</w:t>
      </w:r>
      <w:r>
        <w:rPr>
          <w:rFonts w:hAnsi="宋体"/>
          <w:bCs/>
        </w:rPr>
        <w:t>（北京时间）前递交投标文件</w:t>
      </w:r>
      <w:r>
        <w:rPr>
          <w:rFonts w:hAnsi="宋体"/>
        </w:rPr>
        <w:t>。</w:t>
      </w:r>
    </w:p>
    <w:p>
      <w:pPr>
        <w:spacing w:line="340" w:lineRule="exact"/>
        <w:ind w:firstLine="413" w:firstLineChars="196"/>
        <w:rPr>
          <w:b/>
        </w:rPr>
      </w:pPr>
      <w:bookmarkStart w:id="17" w:name="_Toc35393790"/>
      <w:bookmarkStart w:id="18" w:name="_Toc35393621"/>
      <w:bookmarkStart w:id="19" w:name="_Toc28359079"/>
      <w:bookmarkStart w:id="20" w:name="_Toc28359002"/>
      <w:bookmarkStart w:id="21" w:name="_Hlk24379207"/>
      <w:r>
        <w:rPr>
          <w:b/>
        </w:rPr>
        <w:t>一、项目基本情况</w:t>
      </w:r>
      <w:bookmarkEnd w:id="17"/>
      <w:bookmarkEnd w:id="18"/>
      <w:bookmarkEnd w:id="19"/>
      <w:bookmarkEnd w:id="20"/>
    </w:p>
    <w:p>
      <w:pPr>
        <w:spacing w:line="340" w:lineRule="exact"/>
        <w:ind w:firstLine="420" w:firstLineChars="200"/>
        <w:rPr>
          <w:color w:val="FF0000"/>
        </w:rPr>
      </w:pPr>
      <w:r>
        <w:rPr>
          <w:rFonts w:hint="eastAsia" w:hAnsi="宋体"/>
        </w:rPr>
        <w:t>1.</w:t>
      </w:r>
      <w:r>
        <w:rPr>
          <w:rFonts w:hAnsi="宋体"/>
        </w:rPr>
        <w:t>项目编号：</w:t>
      </w:r>
      <w:r>
        <w:rPr>
          <w:rFonts w:hint="eastAsia"/>
        </w:rPr>
        <w:t>SZDL2020335590</w:t>
      </w:r>
    </w:p>
    <w:p>
      <w:pPr>
        <w:spacing w:line="340" w:lineRule="exact"/>
        <w:ind w:firstLine="420" w:firstLineChars="200"/>
      </w:pPr>
      <w:r>
        <w:rPr>
          <w:rFonts w:hint="eastAsia" w:hAnsi="宋体"/>
        </w:rPr>
        <w:t>2.</w:t>
      </w:r>
      <w:r>
        <w:rPr>
          <w:rFonts w:hAnsi="宋体"/>
        </w:rPr>
        <w:t>项目名称：</w:t>
      </w:r>
      <w:r>
        <w:rPr>
          <w:rFonts w:hint="eastAsia"/>
        </w:rPr>
        <w:t>深圳市智慧口岸总体规划设计服务</w:t>
      </w:r>
    </w:p>
    <w:bookmarkEnd w:id="21"/>
    <w:p>
      <w:pPr>
        <w:spacing w:line="340" w:lineRule="exact"/>
        <w:ind w:firstLine="420" w:firstLineChars="200"/>
      </w:pPr>
      <w:r>
        <w:rPr>
          <w:rFonts w:hint="eastAsia" w:hAnsi="宋体"/>
        </w:rPr>
        <w:t>3.</w:t>
      </w:r>
      <w:r>
        <w:rPr>
          <w:rFonts w:hAnsi="宋体"/>
        </w:rPr>
        <w:t>预算金额：</w:t>
      </w:r>
      <w:r>
        <w:rPr>
          <w:rFonts w:hint="eastAsia" w:hAnsi="宋体"/>
        </w:rPr>
        <w:t>170</w:t>
      </w:r>
      <w:r>
        <w:rPr>
          <w:rFonts w:hAnsi="宋体"/>
        </w:rPr>
        <w:t>万元整</w:t>
      </w:r>
    </w:p>
    <w:p>
      <w:pPr>
        <w:spacing w:line="340" w:lineRule="exact"/>
        <w:ind w:firstLine="420" w:firstLineChars="200"/>
      </w:pPr>
      <w:r>
        <w:rPr>
          <w:rFonts w:hint="eastAsia" w:hAnsi="宋体"/>
        </w:rPr>
        <w:t>4.</w:t>
      </w:r>
      <w:r>
        <w:rPr>
          <w:rFonts w:hAnsi="宋体"/>
        </w:rPr>
        <w:t>最高限价：</w:t>
      </w:r>
      <w:r>
        <w:rPr>
          <w:rFonts w:hint="eastAsia" w:hAnsi="宋体"/>
        </w:rPr>
        <w:t>170</w:t>
      </w:r>
      <w:r>
        <w:rPr>
          <w:rFonts w:hAnsi="宋体"/>
        </w:rPr>
        <w:t>万元整</w:t>
      </w:r>
    </w:p>
    <w:p>
      <w:pPr>
        <w:spacing w:line="340" w:lineRule="exact"/>
        <w:ind w:firstLine="420" w:firstLineChars="200"/>
        <w:rPr>
          <w:rFonts w:hAnsi="宋体"/>
        </w:rPr>
      </w:pPr>
      <w:r>
        <w:rPr>
          <w:rFonts w:hint="eastAsia" w:hAnsi="宋体"/>
        </w:rPr>
        <w:t>5.</w:t>
      </w:r>
      <w:r>
        <w:rPr>
          <w:rFonts w:hAnsi="宋体"/>
        </w:rPr>
        <w:t>采购需求</w:t>
      </w:r>
    </w:p>
    <w:tbl>
      <w:tblPr>
        <w:tblStyle w:val="42"/>
        <w:tblW w:w="793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211"/>
        <w:gridCol w:w="3042"/>
        <w:gridCol w:w="2336"/>
        <w:gridCol w:w="707"/>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jc w:val="right"/>
        </w:trPr>
        <w:tc>
          <w:tcPr>
            <w:tcW w:w="1211" w:type="dxa"/>
            <w:shd w:val="clear" w:color="auto" w:fill="ABCDEF"/>
            <w:vAlign w:val="center"/>
          </w:tcPr>
          <w:p>
            <w:pPr>
              <w:pStyle w:val="37"/>
              <w:jc w:val="center"/>
              <w:rPr>
                <w:rFonts w:asciiTheme="minorEastAsia" w:hAnsiTheme="minorEastAsia" w:eastAsiaTheme="minorEastAsia"/>
                <w:sz w:val="21"/>
                <w:szCs w:val="21"/>
              </w:rPr>
            </w:pPr>
            <w:r>
              <w:rPr>
                <w:rFonts w:asciiTheme="minorEastAsia" w:hAnsiTheme="minorEastAsia" w:eastAsiaTheme="minorEastAsia"/>
                <w:sz w:val="21"/>
                <w:szCs w:val="21"/>
              </w:rPr>
              <w:t>采购条目流水号</w:t>
            </w:r>
          </w:p>
        </w:tc>
        <w:tc>
          <w:tcPr>
            <w:tcW w:w="3042" w:type="dxa"/>
            <w:shd w:val="clear" w:color="auto" w:fill="ABCDEF"/>
            <w:vAlign w:val="center"/>
          </w:tcPr>
          <w:p>
            <w:pPr>
              <w:pStyle w:val="37"/>
              <w:jc w:val="center"/>
              <w:rPr>
                <w:rFonts w:asciiTheme="minorEastAsia" w:hAnsiTheme="minorEastAsia" w:eastAsiaTheme="minorEastAsia"/>
                <w:sz w:val="21"/>
                <w:szCs w:val="21"/>
              </w:rPr>
            </w:pPr>
            <w:r>
              <w:rPr>
                <w:rFonts w:asciiTheme="minorEastAsia" w:hAnsiTheme="minorEastAsia" w:eastAsiaTheme="minorEastAsia"/>
                <w:sz w:val="21"/>
                <w:szCs w:val="21"/>
              </w:rPr>
              <w:t>采购品名</w:t>
            </w:r>
          </w:p>
        </w:tc>
        <w:tc>
          <w:tcPr>
            <w:tcW w:w="2336" w:type="dxa"/>
            <w:shd w:val="clear" w:color="auto" w:fill="ABCDEF"/>
            <w:vAlign w:val="center"/>
          </w:tcPr>
          <w:p>
            <w:pPr>
              <w:pStyle w:val="37"/>
              <w:jc w:val="center"/>
              <w:rPr>
                <w:rFonts w:asciiTheme="minorEastAsia" w:hAnsiTheme="minorEastAsia" w:eastAsiaTheme="minorEastAsia"/>
                <w:sz w:val="21"/>
                <w:szCs w:val="21"/>
              </w:rPr>
            </w:pPr>
            <w:r>
              <w:rPr>
                <w:rFonts w:asciiTheme="minorEastAsia" w:hAnsiTheme="minorEastAsia" w:eastAsiaTheme="minorEastAsia"/>
                <w:sz w:val="21"/>
                <w:szCs w:val="21"/>
              </w:rPr>
              <w:t>预算金额（单位：元）</w:t>
            </w:r>
          </w:p>
        </w:tc>
        <w:tc>
          <w:tcPr>
            <w:tcW w:w="707" w:type="dxa"/>
            <w:shd w:val="clear" w:color="auto" w:fill="ABCDEF"/>
            <w:vAlign w:val="center"/>
          </w:tcPr>
          <w:p>
            <w:pPr>
              <w:pStyle w:val="37"/>
              <w:jc w:val="center"/>
              <w:rPr>
                <w:rFonts w:asciiTheme="minorEastAsia" w:hAnsiTheme="minorEastAsia" w:eastAsiaTheme="minorEastAsia"/>
                <w:sz w:val="21"/>
                <w:szCs w:val="21"/>
              </w:rPr>
            </w:pPr>
            <w:r>
              <w:rPr>
                <w:rFonts w:asciiTheme="minorEastAsia" w:hAnsiTheme="minorEastAsia" w:eastAsiaTheme="minorEastAsia"/>
                <w:sz w:val="21"/>
                <w:szCs w:val="21"/>
              </w:rPr>
              <w:t>数量</w:t>
            </w:r>
          </w:p>
        </w:tc>
        <w:tc>
          <w:tcPr>
            <w:tcW w:w="643" w:type="dxa"/>
            <w:shd w:val="clear" w:color="auto" w:fill="ABCDEF"/>
            <w:vAlign w:val="center"/>
          </w:tcPr>
          <w:p>
            <w:pPr>
              <w:pStyle w:val="37"/>
              <w:jc w:val="center"/>
              <w:rPr>
                <w:rFonts w:asciiTheme="minorEastAsia" w:hAnsiTheme="minorEastAsia" w:eastAsiaTheme="minorEastAsia"/>
                <w:sz w:val="21"/>
                <w:szCs w:val="21"/>
              </w:rPr>
            </w:pPr>
            <w:r>
              <w:rPr>
                <w:rFonts w:asciiTheme="minorEastAsia" w:hAnsiTheme="minorEastAsia" w:eastAsiaTheme="minorEastAsia"/>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jc w:val="right"/>
        </w:trPr>
        <w:tc>
          <w:tcPr>
            <w:tcW w:w="1211"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634064276</w:t>
            </w:r>
          </w:p>
        </w:tc>
        <w:tc>
          <w:tcPr>
            <w:tcW w:w="304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深圳市智慧口岸总体规划设计服务</w:t>
            </w:r>
          </w:p>
        </w:tc>
        <w:tc>
          <w:tcPr>
            <w:tcW w:w="2336"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1,700,000.00</w:t>
            </w:r>
          </w:p>
        </w:tc>
        <w:tc>
          <w:tcPr>
            <w:tcW w:w="70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64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jc w:val="right"/>
        </w:trPr>
        <w:tc>
          <w:tcPr>
            <w:tcW w:w="7939" w:type="dxa"/>
            <w:gridSpan w:val="5"/>
            <w:vAlign w:val="center"/>
          </w:tcPr>
          <w:p>
            <w:pPr>
              <w:rPr>
                <w:rFonts w:asciiTheme="minorEastAsia" w:hAnsiTheme="minorEastAsia" w:eastAsiaTheme="minorEastAsia"/>
                <w:szCs w:val="21"/>
              </w:rPr>
            </w:pPr>
            <w:r>
              <w:rPr>
                <w:rFonts w:hint="eastAsia" w:asciiTheme="minorEastAsia" w:hAnsiTheme="minorEastAsia" w:eastAsiaTheme="minorEastAsia"/>
                <w:szCs w:val="21"/>
              </w:rPr>
              <w:t>合计（单位：元）：1,700,000.00</w:t>
            </w:r>
          </w:p>
        </w:tc>
      </w:tr>
    </w:tbl>
    <w:p>
      <w:pPr>
        <w:spacing w:line="340" w:lineRule="exact"/>
        <w:ind w:firstLine="420" w:firstLineChars="200"/>
        <w:rPr>
          <w:u w:val="single"/>
        </w:rPr>
      </w:pPr>
      <w:r>
        <w:rPr>
          <w:rFonts w:hint="eastAsia" w:hAnsi="宋体"/>
        </w:rPr>
        <w:t>6.</w:t>
      </w:r>
      <w:r>
        <w:rPr>
          <w:rFonts w:hAnsi="宋体"/>
        </w:rPr>
        <w:t>合同履行期限：</w:t>
      </w:r>
      <w:r>
        <w:t>详见招标文件</w:t>
      </w:r>
    </w:p>
    <w:p>
      <w:pPr>
        <w:spacing w:line="340" w:lineRule="exact"/>
        <w:ind w:firstLine="413" w:firstLineChars="196"/>
        <w:rPr>
          <w:b/>
        </w:rPr>
      </w:pPr>
      <w:bookmarkStart w:id="22" w:name="_Toc28359003"/>
      <w:bookmarkStart w:id="23" w:name="_Toc35393791"/>
      <w:bookmarkStart w:id="24" w:name="_Toc28359080"/>
      <w:bookmarkStart w:id="25" w:name="_Toc35393622"/>
      <w:r>
        <w:rPr>
          <w:b/>
        </w:rPr>
        <w:t>二、申请人的资格要求：</w:t>
      </w:r>
      <w:bookmarkEnd w:id="22"/>
      <w:bookmarkEnd w:id="23"/>
      <w:bookmarkEnd w:id="24"/>
      <w:bookmarkEnd w:id="25"/>
    </w:p>
    <w:p>
      <w:pPr>
        <w:spacing w:line="340" w:lineRule="exact"/>
        <w:ind w:firstLine="420" w:firstLineChars="200"/>
        <w:rPr>
          <w:rFonts w:hAnsi="宋体"/>
        </w:rPr>
      </w:pPr>
      <w:bookmarkStart w:id="26" w:name="_Toc28359081"/>
      <w:bookmarkStart w:id="27" w:name="_Toc28359004"/>
      <w:r>
        <w:rPr>
          <w:rFonts w:hint="eastAsia" w:hAnsi="宋体"/>
        </w:rPr>
        <w:t>1.具有独立法人资格或具有独立承担民事责任的能力的其它组织（提供营业执照或事业单位法人证等法人证明扫描件，原件备查）。</w:t>
      </w:r>
    </w:p>
    <w:p>
      <w:pPr>
        <w:spacing w:line="340" w:lineRule="exact"/>
        <w:ind w:firstLine="420" w:firstLineChars="200"/>
        <w:rPr>
          <w:rFonts w:hAnsi="宋体"/>
        </w:rPr>
      </w:pPr>
      <w:r>
        <w:rPr>
          <w:rFonts w:hint="eastAsia" w:hAnsi="宋体"/>
        </w:rPr>
        <w:t>2.本项目不接受联合体投标，不接受投标人选用进口产品参与投标。</w:t>
      </w:r>
    </w:p>
    <w:p>
      <w:pPr>
        <w:spacing w:line="340" w:lineRule="exact"/>
        <w:ind w:firstLine="420" w:firstLineChars="200"/>
        <w:rPr>
          <w:rFonts w:hAnsi="宋体"/>
        </w:rPr>
      </w:pPr>
      <w:r>
        <w:rPr>
          <w:rFonts w:hint="eastAsia" w:hAnsi="宋体"/>
        </w:rPr>
        <w:t>3.参与本项目投标前三年内，在经营活动中没有重大违法记录（由供应商在《政府采购投标及履约承诺函》中作出声明）。</w:t>
      </w:r>
    </w:p>
    <w:p>
      <w:pPr>
        <w:spacing w:line="340" w:lineRule="exact"/>
        <w:ind w:firstLine="420" w:firstLineChars="200"/>
        <w:rPr>
          <w:rFonts w:hAnsi="宋体"/>
        </w:rPr>
      </w:pPr>
      <w:r>
        <w:rPr>
          <w:rFonts w:hint="eastAsia" w:hAnsi="宋体"/>
        </w:rPr>
        <w:t>4.参与本项目政府采购活动时不存在被有关部门禁止参与政府采购活动且在有效期内的情况（由供应商在《政府采购投标及履约承诺函》中作出声明）。</w:t>
      </w:r>
    </w:p>
    <w:p>
      <w:pPr>
        <w:spacing w:line="340" w:lineRule="exact"/>
        <w:ind w:firstLine="420" w:firstLineChars="200"/>
        <w:rPr>
          <w:rFonts w:hAnsi="宋体"/>
        </w:rPr>
      </w:pPr>
      <w:r>
        <w:rPr>
          <w:rFonts w:hint="eastAsia" w:hAnsi="宋体"/>
        </w:rPr>
        <w:t>5.具备《中华人民共和国政府采购法》第二十二条第一款的条件（由供应商在《政府采购投标及履约承诺函》中作出声明）。</w:t>
      </w:r>
    </w:p>
    <w:p>
      <w:pPr>
        <w:spacing w:line="340" w:lineRule="exact"/>
        <w:ind w:firstLine="420" w:firstLineChars="200"/>
        <w:rPr>
          <w:rFonts w:hAnsi="宋体"/>
        </w:rPr>
      </w:pPr>
      <w:r>
        <w:rPr>
          <w:rFonts w:hint="eastAsia" w:hAnsi="宋体"/>
        </w:rPr>
        <w:t>6.未被列入失信被执行人、重大税收违法案件当事人名单、政府采购严重违法失信行为记录名单（由供应商在《政府采购投标及履约承诺函》中作出声明）。</w:t>
      </w:r>
    </w:p>
    <w:p>
      <w:pPr>
        <w:spacing w:line="340" w:lineRule="exact"/>
        <w:ind w:firstLine="420" w:firstLineChars="200"/>
        <w:rPr>
          <w:rFonts w:hAnsi="宋体"/>
        </w:rPr>
      </w:pPr>
      <w:r>
        <w:rPr>
          <w:rFonts w:hint="eastAsia" w:hAnsi="宋体"/>
        </w:rPr>
        <w:t>注：“信用中国”、“中国政府采购网”以及“深圳市政府采购监管网”为供应商信用信息的查询渠道，相关信息以中标通知书发出前的查询结果为准。</w:t>
      </w:r>
    </w:p>
    <w:p>
      <w:pPr>
        <w:spacing w:line="340" w:lineRule="exact"/>
        <w:ind w:firstLine="420" w:firstLineChars="200"/>
        <w:rPr>
          <w:i/>
          <w:iCs/>
          <w:u w:val="single"/>
        </w:rPr>
      </w:pPr>
      <w:r>
        <w:rPr>
          <w:rFonts w:hint="eastAsia" w:hAnsi="宋体"/>
        </w:rPr>
        <w:t>7.</w:t>
      </w:r>
      <w:r>
        <w:rPr>
          <w:rFonts w:hAnsi="宋体"/>
        </w:rPr>
        <w:t>本项目的特定资格要求：</w:t>
      </w:r>
      <w:r>
        <w:rPr>
          <w:rFonts w:hint="eastAsia" w:ascii="宋体" w:hAnsi="宋体" w:cs="宋体"/>
          <w:b/>
          <w:szCs w:val="21"/>
        </w:rPr>
        <w:t>具有工程设计（通信工程及建筑工程）甲级资质证书</w:t>
      </w:r>
      <w:r>
        <w:rPr>
          <w:rFonts w:hint="eastAsia" w:ascii="宋体" w:hAnsi="宋体" w:cs="宋体"/>
          <w:bCs/>
          <w:szCs w:val="21"/>
        </w:rPr>
        <w:t>。</w:t>
      </w:r>
    </w:p>
    <w:p>
      <w:pPr>
        <w:spacing w:line="340" w:lineRule="exact"/>
        <w:ind w:firstLine="422" w:firstLineChars="200"/>
        <w:rPr>
          <w:b/>
        </w:rPr>
      </w:pPr>
      <w:bookmarkStart w:id="28" w:name="_Toc35393792"/>
      <w:bookmarkStart w:id="29" w:name="_Toc35393623"/>
      <w:r>
        <w:rPr>
          <w:b/>
        </w:rPr>
        <w:t>三、获取采购文件</w:t>
      </w:r>
      <w:bookmarkEnd w:id="26"/>
      <w:bookmarkEnd w:id="27"/>
      <w:bookmarkEnd w:id="28"/>
      <w:bookmarkEnd w:id="29"/>
    </w:p>
    <w:p>
      <w:pPr>
        <w:spacing w:line="340" w:lineRule="exact"/>
        <w:ind w:firstLine="420" w:firstLineChars="200"/>
      </w:pPr>
      <w:r>
        <w:rPr>
          <w:rFonts w:hint="eastAsia"/>
        </w:rPr>
        <w:t>1.</w:t>
      </w:r>
      <w:r>
        <w:t>时间：2020年</w:t>
      </w:r>
      <w:r>
        <w:rPr>
          <w:rFonts w:hint="eastAsia"/>
        </w:rPr>
        <w:t>10</w:t>
      </w:r>
      <w:r>
        <w:t>月</w:t>
      </w:r>
      <w:r>
        <w:rPr>
          <w:rFonts w:hint="eastAsia"/>
        </w:rPr>
        <w:t>20</w:t>
      </w:r>
      <w:r>
        <w:t>日</w:t>
      </w:r>
      <w:r>
        <w:rPr>
          <w:rFonts w:hint="eastAsia"/>
        </w:rPr>
        <w:t>00</w:t>
      </w:r>
      <w:r>
        <w:t>:00:00至2020年</w:t>
      </w:r>
      <w:r>
        <w:rPr>
          <w:rFonts w:hint="eastAsia"/>
        </w:rPr>
        <w:t>10</w:t>
      </w:r>
      <w:r>
        <w:t>月</w:t>
      </w:r>
      <w:r>
        <w:rPr>
          <w:rFonts w:hint="eastAsia"/>
        </w:rPr>
        <w:t>27</w:t>
      </w:r>
      <w:r>
        <w:t>日</w:t>
      </w:r>
      <w:r>
        <w:rPr>
          <w:rFonts w:hint="eastAsia"/>
        </w:rPr>
        <w:t>00</w:t>
      </w:r>
      <w:r>
        <w:t>:</w:t>
      </w:r>
      <w:r>
        <w:rPr>
          <w:rFonts w:hint="eastAsia"/>
        </w:rPr>
        <w:t>0</w:t>
      </w:r>
      <w:r>
        <w:t>0:00（北京时间）每天上午00:00至12:00，下午12:00至24:00。</w:t>
      </w:r>
    </w:p>
    <w:p>
      <w:pPr>
        <w:spacing w:line="340" w:lineRule="exact"/>
        <w:ind w:firstLine="420" w:firstLineChars="200"/>
      </w:pPr>
      <w:r>
        <w:rPr>
          <w:rFonts w:hint="eastAsia"/>
        </w:rPr>
        <w:t>2.</w:t>
      </w:r>
      <w:r>
        <w:t>地点：</w:t>
      </w:r>
      <w:r>
        <w:rPr>
          <w:rFonts w:hint="eastAsia"/>
        </w:rPr>
        <w:t>登录深圳交易集团有限公司政府采购业务分公司网页站（cgzx.sz.gov.cn）下载本项目的招标文件。</w:t>
      </w:r>
    </w:p>
    <w:p>
      <w:pPr>
        <w:spacing w:line="340" w:lineRule="exact"/>
        <w:ind w:firstLine="420" w:firstLineChars="200"/>
      </w:pPr>
      <w:r>
        <w:rPr>
          <w:rFonts w:hint="eastAsia"/>
        </w:rPr>
        <w:t>3.</w:t>
      </w:r>
      <w:r>
        <w:t>方式：在线下载</w:t>
      </w:r>
      <w:r>
        <w:rPr>
          <w:rFonts w:hint="eastAsia"/>
        </w:rPr>
        <w:t>。</w:t>
      </w:r>
    </w:p>
    <w:p>
      <w:pPr>
        <w:spacing w:line="340" w:lineRule="exact"/>
        <w:ind w:firstLine="420" w:firstLineChars="200"/>
      </w:pPr>
      <w:r>
        <w:rPr>
          <w:rFonts w:hint="eastAsia"/>
        </w:rPr>
        <w:t>4.</w:t>
      </w:r>
      <w:r>
        <w:t>售价：免费。</w:t>
      </w:r>
    </w:p>
    <w:p>
      <w:pPr>
        <w:spacing w:line="340" w:lineRule="exact"/>
        <w:ind w:firstLine="413" w:firstLineChars="196"/>
        <w:rPr>
          <w:b/>
        </w:rPr>
      </w:pPr>
      <w:bookmarkStart w:id="30" w:name="_Toc28359082"/>
      <w:bookmarkStart w:id="31" w:name="_Toc28359005"/>
      <w:bookmarkStart w:id="32" w:name="_Toc35393624"/>
      <w:bookmarkStart w:id="33" w:name="_Toc35393793"/>
      <w:r>
        <w:rPr>
          <w:b/>
        </w:rPr>
        <w:t>四、提交投标文件</w:t>
      </w:r>
      <w:bookmarkEnd w:id="30"/>
      <w:bookmarkEnd w:id="31"/>
      <w:r>
        <w:rPr>
          <w:b/>
        </w:rPr>
        <w:t>截止时间、开标时间和地点</w:t>
      </w:r>
      <w:bookmarkEnd w:id="32"/>
      <w:bookmarkEnd w:id="33"/>
    </w:p>
    <w:p>
      <w:pPr>
        <w:spacing w:line="340" w:lineRule="exact"/>
        <w:ind w:firstLine="420" w:firstLineChars="200"/>
        <w:rPr>
          <w:kern w:val="0"/>
        </w:rPr>
      </w:pPr>
      <w:r>
        <w:rPr>
          <w:rFonts w:hAnsi="宋体"/>
          <w:kern w:val="0"/>
        </w:rPr>
        <w:t>时间：</w:t>
      </w:r>
      <w:r>
        <w:rPr>
          <w:kern w:val="0"/>
        </w:rPr>
        <w:t>2020</w:t>
      </w:r>
      <w:r>
        <w:rPr>
          <w:rFonts w:hAnsi="宋体"/>
          <w:kern w:val="0"/>
        </w:rPr>
        <w:t>月</w:t>
      </w:r>
      <w:r>
        <w:rPr>
          <w:rFonts w:hint="eastAsia"/>
          <w:kern w:val="0"/>
        </w:rPr>
        <w:t>11</w:t>
      </w:r>
      <w:r>
        <w:rPr>
          <w:rFonts w:hAnsi="宋体"/>
          <w:kern w:val="0"/>
        </w:rPr>
        <w:t>月</w:t>
      </w:r>
      <w:r>
        <w:rPr>
          <w:rFonts w:hint="eastAsia"/>
          <w:kern w:val="0"/>
        </w:rPr>
        <w:t>4</w:t>
      </w:r>
      <w:r>
        <w:rPr>
          <w:rFonts w:hAnsi="宋体"/>
          <w:kern w:val="0"/>
        </w:rPr>
        <w:t>日</w:t>
      </w:r>
      <w:r>
        <w:rPr>
          <w:rFonts w:hint="eastAsia" w:hAnsi="宋体"/>
          <w:kern w:val="0"/>
        </w:rPr>
        <w:t>上</w:t>
      </w:r>
      <w:r>
        <w:rPr>
          <w:rFonts w:hAnsi="宋体"/>
          <w:kern w:val="0"/>
        </w:rPr>
        <w:t>午</w:t>
      </w:r>
      <w:r>
        <w:rPr>
          <w:rFonts w:hint="eastAsia"/>
          <w:kern w:val="0"/>
        </w:rPr>
        <w:t>09</w:t>
      </w:r>
      <w:r>
        <w:rPr>
          <w:rFonts w:hAnsi="宋体"/>
          <w:kern w:val="0"/>
        </w:rPr>
        <w:t>时</w:t>
      </w:r>
      <w:r>
        <w:rPr>
          <w:rFonts w:hint="eastAsia"/>
          <w:kern w:val="0"/>
        </w:rPr>
        <w:t>3</w:t>
      </w:r>
      <w:r>
        <w:rPr>
          <w:kern w:val="0"/>
        </w:rPr>
        <w:t>0</w:t>
      </w:r>
      <w:r>
        <w:rPr>
          <w:rFonts w:hAnsi="宋体"/>
          <w:kern w:val="0"/>
        </w:rPr>
        <w:t>分</w:t>
      </w:r>
      <w:r>
        <w:t>（北京时间）</w:t>
      </w:r>
    </w:p>
    <w:p>
      <w:pPr>
        <w:spacing w:line="340" w:lineRule="exact"/>
        <w:ind w:firstLine="420" w:firstLineChars="200"/>
        <w:rPr>
          <w:rFonts w:hAnsi="宋体"/>
          <w:kern w:val="0"/>
        </w:rPr>
      </w:pPr>
      <w:r>
        <w:rPr>
          <w:rFonts w:hAnsi="宋体"/>
          <w:kern w:val="0"/>
        </w:rPr>
        <w:t>地点：深圳市福田区泰然九路金润大厦</w:t>
      </w:r>
      <w:r>
        <w:rPr>
          <w:kern w:val="0"/>
        </w:rPr>
        <w:t>7</w:t>
      </w:r>
      <w:r>
        <w:rPr>
          <w:rFonts w:hAnsi="宋体"/>
          <w:kern w:val="0"/>
        </w:rPr>
        <w:t>层</w:t>
      </w:r>
      <w:r>
        <w:rPr>
          <w:kern w:val="0"/>
        </w:rPr>
        <w:t>E</w:t>
      </w:r>
      <w:r>
        <w:rPr>
          <w:rFonts w:hAnsi="宋体"/>
          <w:kern w:val="0"/>
        </w:rPr>
        <w:t>单元三方诚信招标有限公司</w:t>
      </w:r>
    </w:p>
    <w:p>
      <w:pPr>
        <w:spacing w:line="340" w:lineRule="exact"/>
        <w:ind w:firstLine="413" w:firstLineChars="196"/>
        <w:rPr>
          <w:b/>
        </w:rPr>
      </w:pPr>
      <w:r>
        <w:rPr>
          <w:b/>
        </w:rPr>
        <w:t>五、公告期限</w:t>
      </w:r>
    </w:p>
    <w:p>
      <w:pPr>
        <w:spacing w:line="340" w:lineRule="exact"/>
        <w:ind w:firstLine="420" w:firstLineChars="200"/>
        <w:rPr>
          <w:rFonts w:ascii="宋体" w:hAnsi="宋体" w:cs="宋体"/>
          <w:kern w:val="0"/>
          <w:sz w:val="24"/>
        </w:rPr>
      </w:pPr>
      <w:r>
        <w:rPr>
          <w:rFonts w:hAnsi="宋体"/>
          <w:kern w:val="0"/>
        </w:rPr>
        <w:t>自本公告发布之日起5个工作日。</w:t>
      </w:r>
    </w:p>
    <w:p>
      <w:pPr>
        <w:spacing w:line="340" w:lineRule="exact"/>
        <w:ind w:firstLine="413" w:firstLineChars="196"/>
        <w:rPr>
          <w:b/>
        </w:rPr>
      </w:pPr>
      <w:bookmarkStart w:id="34" w:name="_Toc35393626"/>
      <w:bookmarkStart w:id="35" w:name="_Toc35393795"/>
      <w:r>
        <w:rPr>
          <w:rFonts w:hint="eastAsia"/>
          <w:b/>
        </w:rPr>
        <w:t>六</w:t>
      </w:r>
      <w:r>
        <w:rPr>
          <w:b/>
        </w:rPr>
        <w:t>、其他补充事宜</w:t>
      </w:r>
      <w:bookmarkEnd w:id="34"/>
      <w:bookmarkEnd w:id="35"/>
    </w:p>
    <w:p>
      <w:pPr>
        <w:spacing w:line="340" w:lineRule="exact"/>
        <w:ind w:firstLine="411" w:firstLineChars="196"/>
        <w:rPr>
          <w:bCs/>
        </w:rPr>
      </w:pPr>
      <w:bookmarkStart w:id="36" w:name="_Toc35393627"/>
      <w:bookmarkStart w:id="37" w:name="_Toc28359008"/>
      <w:bookmarkStart w:id="38" w:name="_Toc35393796"/>
      <w:bookmarkStart w:id="39" w:name="_Toc28359085"/>
      <w:r>
        <w:rPr>
          <w:rFonts w:hint="eastAsia"/>
          <w:bCs/>
        </w:rPr>
        <w:t>1.本项目实行网上投标，采用电子投标文件。</w:t>
      </w:r>
    </w:p>
    <w:p>
      <w:pPr>
        <w:spacing w:line="340" w:lineRule="exact"/>
        <w:ind w:firstLine="411" w:firstLineChars="196"/>
        <w:rPr>
          <w:bCs/>
        </w:rPr>
      </w:pPr>
      <w:r>
        <w:rPr>
          <w:rFonts w:hint="eastAsia"/>
          <w:bCs/>
        </w:rPr>
        <w:t>2.投标人如确定参加投标，首先要在深圳政府采购网上深圳社会代理机构系统报名投标，方法为登录深圳市政府采购网深圳社会代理机构系统后点击“应标管理→投标响应”或“应标管理→确认邀请”；</w:t>
      </w:r>
    </w:p>
    <w:p>
      <w:pPr>
        <w:spacing w:line="340" w:lineRule="exact"/>
        <w:ind w:firstLine="411" w:firstLineChars="196"/>
        <w:rPr>
          <w:bCs/>
        </w:rPr>
      </w:pPr>
      <w:r>
        <w:rPr>
          <w:rFonts w:hint="eastAsia"/>
          <w:bCs/>
        </w:rPr>
        <w:t>3.投标操作：具体操作为登录“深圳市政府采购网深圳社会代理机构系统”，用“应标管理→上传投标文件”功能点上传投标文件。本项目电子投标文件最大容量为100MB，超过此容量的文件将被拒绝。深圳社会代理机构系统入口</w:t>
      </w:r>
    </w:p>
    <w:p>
      <w:pPr>
        <w:spacing w:line="340" w:lineRule="exact"/>
        <w:ind w:firstLine="411" w:firstLineChars="196"/>
        <w:rPr>
          <w:bCs/>
        </w:rPr>
      </w:pPr>
      <w:r>
        <w:rPr>
          <w:rFonts w:hint="eastAsia"/>
          <w:bCs/>
        </w:rPr>
        <w:t>4.开标操作：供应商可以登录“深圳交易集团有限公司政府采购业务分公司网站”，在系统登录首页面即可查看开标情况。</w:t>
      </w:r>
    </w:p>
    <w:p>
      <w:pPr>
        <w:spacing w:line="340" w:lineRule="exact"/>
        <w:ind w:firstLine="411" w:firstLineChars="196"/>
        <w:rPr>
          <w:bCs/>
        </w:rPr>
      </w:pPr>
      <w:r>
        <w:rPr>
          <w:rFonts w:hint="eastAsia"/>
          <w:bCs/>
        </w:rPr>
        <w:t>5.采购文件澄清/修改事项：2020年10月31日 00:00（北京时间）时前，供应商如认为采购文件存在不明确、不清晰和前后不一致等问题，要求对采购文件作出澄清的，可登录深圳市政府采购网，在“应标管理→提出采购文件澄清要求”功能点中填写需澄清内容。2020年11月03日 18:00（北京时间）前将采购文件澄清/修改情况在“应标管理→采购文件澄清/修改查询”中公布，望投标人予以关注。（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交易集团有限公司政府采购业务分公司网页（http://www.szzfcg.cn/portal/documentView.do?method=view&amp;id=597839319）所发布的质疑指引、质疑函模板填写质疑函并提交质疑材料。质疑材料可以采用现场或邮寄方式提交，采用邮寄方式提交的，交邮时间应在本公告发布之日起七个工作日内。现场提交、邮寄地址：深圳市福田区泰然九路金润大厦7层E单元。质疑咨询电话：0755-82800088。根据《深圳经济特区政府采购条例》第四十二条“供应商投诉的事项应当是经过质疑的事项”的规定，未经正式质疑的，将影响供应商行使向财政部门提起投诉的权利。）</w:t>
      </w:r>
    </w:p>
    <w:p>
      <w:pPr>
        <w:spacing w:line="340" w:lineRule="exact"/>
        <w:ind w:firstLine="411" w:firstLineChars="196"/>
        <w:rPr>
          <w:bCs/>
        </w:rPr>
      </w:pPr>
      <w:r>
        <w:rPr>
          <w:rFonts w:hint="eastAsia"/>
          <w:bCs/>
        </w:rPr>
        <w:t>6.三方诚信招标有限公司有权对中标供应商就本项目要求提供的相关证明资料（原件）进行审查。供应商提供虚假资料被查实的，则可能面临被取消本项目中标资格、列入不良行为记录名单和三年内禁止参与深圳市政府采购活动的风险。</w:t>
      </w:r>
    </w:p>
    <w:p>
      <w:pPr>
        <w:spacing w:line="340" w:lineRule="exact"/>
        <w:ind w:firstLine="411" w:firstLineChars="196"/>
        <w:rPr>
          <w:bCs/>
        </w:rPr>
      </w:pPr>
      <w:r>
        <w:rPr>
          <w:rFonts w:hint="eastAsia"/>
          <w:bCs/>
        </w:rPr>
        <w:t>7.本招标公告及本项目招标文件所涉及的时间一律为北京时间。投标人有义务在招标活动期间浏览深圳政府采购网（http://www.szzfcg.cn/），在深圳政府采购网上公布的与本次招标项目有关的信息视为已送达各投标人。</w:t>
      </w:r>
    </w:p>
    <w:p>
      <w:pPr>
        <w:spacing w:line="340" w:lineRule="exact"/>
        <w:ind w:firstLine="411" w:firstLineChars="196"/>
        <w:rPr>
          <w:bCs/>
        </w:rPr>
      </w:pPr>
      <w:r>
        <w:rPr>
          <w:rFonts w:hint="eastAsia"/>
          <w:bCs/>
        </w:rPr>
        <w:t>8.本项目不需要投标保证金。</w:t>
      </w:r>
    </w:p>
    <w:p>
      <w:pPr>
        <w:spacing w:line="340" w:lineRule="exact"/>
        <w:ind w:firstLine="413" w:firstLineChars="196"/>
        <w:rPr>
          <w:b/>
        </w:rPr>
      </w:pPr>
      <w:r>
        <w:rPr>
          <w:rFonts w:hint="eastAsia"/>
          <w:b/>
        </w:rPr>
        <w:t>七</w:t>
      </w:r>
      <w:r>
        <w:rPr>
          <w:b/>
        </w:rPr>
        <w:t>、对本次招标提出询问，请按以下方式联系。</w:t>
      </w:r>
      <w:bookmarkEnd w:id="36"/>
      <w:bookmarkEnd w:id="37"/>
      <w:bookmarkEnd w:id="38"/>
      <w:bookmarkEnd w:id="39"/>
    </w:p>
    <w:p>
      <w:pPr>
        <w:spacing w:line="340" w:lineRule="exact"/>
        <w:ind w:firstLine="420" w:firstLineChars="200"/>
        <w:rPr>
          <w:kern w:val="0"/>
        </w:rPr>
      </w:pPr>
      <w:r>
        <w:rPr>
          <w:rFonts w:hint="eastAsia"/>
          <w:kern w:val="0"/>
        </w:rPr>
        <w:t xml:space="preserve">1.采购人信息 </w:t>
      </w:r>
    </w:p>
    <w:p>
      <w:pPr>
        <w:spacing w:line="340" w:lineRule="exact"/>
        <w:ind w:firstLine="420" w:firstLineChars="200"/>
        <w:rPr>
          <w:kern w:val="0"/>
        </w:rPr>
      </w:pPr>
      <w:r>
        <w:rPr>
          <w:rFonts w:hint="eastAsia"/>
          <w:kern w:val="0"/>
        </w:rPr>
        <w:t xml:space="preserve">名 称：深圳市人民政府口岸办公室 </w:t>
      </w:r>
    </w:p>
    <w:p>
      <w:pPr>
        <w:spacing w:line="340" w:lineRule="exact"/>
        <w:ind w:firstLine="420" w:firstLineChars="200"/>
        <w:rPr>
          <w:kern w:val="0"/>
        </w:rPr>
      </w:pPr>
      <w:r>
        <w:rPr>
          <w:rFonts w:hint="eastAsia"/>
          <w:kern w:val="0"/>
        </w:rPr>
        <w:t xml:space="preserve">地址：深圳市福田南路10号口岸指挥中心大厦 </w:t>
      </w:r>
    </w:p>
    <w:p>
      <w:pPr>
        <w:spacing w:line="340" w:lineRule="exact"/>
        <w:ind w:firstLine="420" w:firstLineChars="200"/>
        <w:rPr>
          <w:kern w:val="0"/>
        </w:rPr>
      </w:pPr>
      <w:r>
        <w:rPr>
          <w:rFonts w:hint="eastAsia"/>
          <w:kern w:val="0"/>
        </w:rPr>
        <w:t xml:space="preserve">联系方式：唐工 0755-83512603 </w:t>
      </w:r>
    </w:p>
    <w:p>
      <w:pPr>
        <w:spacing w:line="340" w:lineRule="exact"/>
        <w:ind w:firstLine="420" w:firstLineChars="200"/>
        <w:rPr>
          <w:kern w:val="0"/>
        </w:rPr>
      </w:pPr>
      <w:r>
        <w:rPr>
          <w:rFonts w:hint="eastAsia"/>
          <w:kern w:val="0"/>
        </w:rPr>
        <w:t xml:space="preserve">2.采购代理机构信息 </w:t>
      </w:r>
    </w:p>
    <w:p>
      <w:pPr>
        <w:spacing w:line="340" w:lineRule="exact"/>
        <w:ind w:firstLine="420" w:firstLineChars="200"/>
        <w:rPr>
          <w:kern w:val="0"/>
        </w:rPr>
      </w:pPr>
      <w:r>
        <w:rPr>
          <w:rFonts w:hint="eastAsia"/>
          <w:kern w:val="0"/>
        </w:rPr>
        <w:t xml:space="preserve">名 称：三方诚信招标有限公司 </w:t>
      </w:r>
    </w:p>
    <w:p>
      <w:pPr>
        <w:spacing w:line="340" w:lineRule="exact"/>
        <w:ind w:firstLine="420" w:firstLineChars="200"/>
        <w:rPr>
          <w:kern w:val="0"/>
        </w:rPr>
      </w:pPr>
      <w:r>
        <w:rPr>
          <w:rFonts w:hint="eastAsia"/>
          <w:kern w:val="0"/>
        </w:rPr>
        <w:t xml:space="preserve">地　址：深圳市福田区泰然九路金润大厦七层E单元 </w:t>
      </w:r>
    </w:p>
    <w:p>
      <w:pPr>
        <w:spacing w:line="340" w:lineRule="exact"/>
        <w:ind w:firstLine="420" w:firstLineChars="200"/>
        <w:rPr>
          <w:kern w:val="0"/>
        </w:rPr>
      </w:pPr>
      <w:r>
        <w:rPr>
          <w:rFonts w:hint="eastAsia"/>
          <w:kern w:val="0"/>
        </w:rPr>
        <w:t xml:space="preserve">联系方式：网上操作咨询： </w:t>
      </w:r>
    </w:p>
    <w:p>
      <w:pPr>
        <w:spacing w:line="340" w:lineRule="exact"/>
        <w:ind w:firstLine="420" w:firstLineChars="200"/>
        <w:rPr>
          <w:kern w:val="0"/>
        </w:rPr>
      </w:pPr>
      <w:r>
        <w:rPr>
          <w:rFonts w:hint="eastAsia"/>
          <w:kern w:val="0"/>
        </w:rPr>
        <w:t xml:space="preserve">采购系统、招投标软件技术支持：张工 / 0755-83203022-805 / 工作QQ：1272422942 </w:t>
      </w:r>
    </w:p>
    <w:p>
      <w:pPr>
        <w:spacing w:line="340" w:lineRule="exact"/>
        <w:ind w:firstLine="420" w:firstLineChars="200"/>
        <w:rPr>
          <w:kern w:val="0"/>
        </w:rPr>
      </w:pPr>
      <w:r>
        <w:rPr>
          <w:rFonts w:hint="eastAsia"/>
          <w:kern w:val="0"/>
        </w:rPr>
        <w:t xml:space="preserve">代理机构系统技术支持：温工 / 0755-83203022-808 / 技术支持QQ群：673471913 </w:t>
      </w:r>
    </w:p>
    <w:p>
      <w:pPr>
        <w:spacing w:line="340" w:lineRule="exact"/>
        <w:ind w:firstLine="420" w:firstLineChars="200"/>
        <w:rPr>
          <w:kern w:val="0"/>
        </w:rPr>
      </w:pPr>
      <w:r>
        <w:rPr>
          <w:rFonts w:hint="eastAsia"/>
          <w:kern w:val="0"/>
        </w:rPr>
        <w:t xml:space="preserve">3.项目联系方式 </w:t>
      </w:r>
    </w:p>
    <w:p>
      <w:pPr>
        <w:spacing w:line="340" w:lineRule="exact"/>
        <w:ind w:firstLine="420" w:firstLineChars="200"/>
        <w:rPr>
          <w:kern w:val="0"/>
        </w:rPr>
      </w:pPr>
      <w:r>
        <w:rPr>
          <w:rFonts w:hint="eastAsia"/>
          <w:kern w:val="0"/>
        </w:rPr>
        <w:t xml:space="preserve">项目联系人：王工 </w:t>
      </w:r>
    </w:p>
    <w:p>
      <w:pPr>
        <w:spacing w:line="340" w:lineRule="exact"/>
        <w:ind w:firstLine="420" w:firstLineChars="200"/>
        <w:rPr>
          <w:kern w:val="0"/>
        </w:rPr>
      </w:pPr>
      <w:r>
        <w:rPr>
          <w:rFonts w:hint="eastAsia"/>
          <w:kern w:val="0"/>
        </w:rPr>
        <w:t xml:space="preserve">电　话：82800088-821 </w:t>
      </w:r>
    </w:p>
    <w:p>
      <w:pPr>
        <w:spacing w:line="340" w:lineRule="exact"/>
      </w:pPr>
    </w:p>
    <w:p>
      <w:pPr>
        <w:spacing w:line="340" w:lineRule="exact"/>
      </w:pPr>
    </w:p>
    <w:p>
      <w:pPr>
        <w:pStyle w:val="22"/>
        <w:spacing w:line="340" w:lineRule="exact"/>
        <w:ind w:right="752" w:rightChars="358" w:firstLine="630" w:firstLineChars="300"/>
        <w:jc w:val="right"/>
        <w:rPr>
          <w:rFonts w:ascii="Times New Roman" w:hAnsi="Times New Roman"/>
          <w:szCs w:val="21"/>
        </w:rPr>
      </w:pPr>
      <w:r>
        <w:rPr>
          <w:rFonts w:ascii="Times New Roman" w:hAnsi="宋体"/>
          <w:szCs w:val="21"/>
        </w:rPr>
        <w:t>三方诚信招标有限公司</w:t>
      </w:r>
    </w:p>
    <w:p>
      <w:pPr>
        <w:pStyle w:val="22"/>
        <w:spacing w:line="340" w:lineRule="exact"/>
        <w:ind w:right="752" w:rightChars="358" w:firstLine="630" w:firstLineChars="300"/>
        <w:jc w:val="right"/>
        <w:rPr>
          <w:rFonts w:ascii="Times New Roman" w:hAnsi="Times New Roman"/>
          <w:szCs w:val="21"/>
        </w:rPr>
      </w:pPr>
      <w:r>
        <w:rPr>
          <w:rFonts w:hint="eastAsia" w:ascii="Times New Roman" w:hAnsi="宋体"/>
          <w:szCs w:val="21"/>
        </w:rPr>
        <w:t>2020</w:t>
      </w:r>
      <w:r>
        <w:rPr>
          <w:rFonts w:ascii="Times New Roman" w:hAnsi="宋体"/>
          <w:szCs w:val="21"/>
        </w:rPr>
        <w:t>年</w:t>
      </w:r>
      <w:r>
        <w:rPr>
          <w:rFonts w:hint="eastAsia" w:ascii="Times New Roman" w:hAnsi="Times New Roman"/>
          <w:szCs w:val="21"/>
        </w:rPr>
        <w:t>10</w:t>
      </w:r>
      <w:r>
        <w:rPr>
          <w:rFonts w:ascii="Times New Roman" w:hAnsi="宋体"/>
          <w:szCs w:val="21"/>
        </w:rPr>
        <w:t>月</w:t>
      </w:r>
      <w:r>
        <w:rPr>
          <w:rFonts w:hint="eastAsia" w:ascii="Times New Roman" w:hAnsi="Times New Roman"/>
          <w:szCs w:val="21"/>
        </w:rPr>
        <w:t>19</w:t>
      </w:r>
      <w:r>
        <w:rPr>
          <w:rFonts w:ascii="Times New Roman" w:hAnsi="宋体"/>
          <w:szCs w:val="21"/>
        </w:rPr>
        <w:t>日</w:t>
      </w:r>
    </w:p>
    <w:p>
      <w:pPr>
        <w:widowControl/>
        <w:jc w:val="left"/>
        <w:rPr>
          <w:rFonts w:ascii="宋体" w:hAnsi="宋体"/>
          <w:b/>
          <w:bCs/>
          <w:kern w:val="0"/>
          <w:sz w:val="24"/>
          <w:szCs w:val="20"/>
        </w:rPr>
      </w:pPr>
      <w:r>
        <w:rPr>
          <w:rFonts w:ascii="宋体" w:hAnsi="宋体"/>
          <w:b/>
          <w:bCs/>
          <w:kern w:val="0"/>
          <w:sz w:val="24"/>
        </w:rPr>
        <w:br w:type="page"/>
      </w:r>
    </w:p>
    <w:p>
      <w:pPr>
        <w:pStyle w:val="5"/>
        <w:rPr>
          <w:rFonts w:ascii="黑体" w:hAnsi="黑体" w:eastAsia="黑体" w:cs="黑体"/>
          <w:b/>
          <w:bCs/>
          <w:sz w:val="28"/>
          <w:szCs w:val="21"/>
        </w:rPr>
      </w:pPr>
      <w:r>
        <w:rPr>
          <w:rFonts w:hint="eastAsia" w:ascii="黑体" w:hAnsi="黑体" w:eastAsia="黑体" w:cs="黑体"/>
          <w:b/>
          <w:bCs/>
          <w:sz w:val="28"/>
          <w:szCs w:val="21"/>
        </w:rPr>
        <w:t>第二章  招标项目需求</w:t>
      </w:r>
    </w:p>
    <w:p>
      <w:pPr>
        <w:pStyle w:val="5"/>
        <w:spacing w:beforeLines="50" w:afterLines="50"/>
        <w:rPr>
          <w:b/>
          <w:bCs/>
          <w:sz w:val="28"/>
          <w:szCs w:val="28"/>
        </w:rPr>
      </w:pPr>
      <w:bookmarkStart w:id="40" w:name="_Toc60560625"/>
      <w:bookmarkStart w:id="41" w:name="_Toc73521547"/>
      <w:bookmarkStart w:id="42" w:name="_Toc73518117"/>
      <w:bookmarkStart w:id="43" w:name="_Toc73517639"/>
      <w:bookmarkStart w:id="44" w:name="_Toc100052364"/>
      <w:bookmarkStart w:id="45" w:name="_Toc101074876"/>
      <w:bookmarkStart w:id="46" w:name="_Toc60631620"/>
      <w:bookmarkStart w:id="47" w:name="_Toc73521635"/>
      <w:r>
        <w:rPr>
          <w:rFonts w:hint="eastAsia"/>
          <w:b/>
          <w:bCs/>
          <w:sz w:val="28"/>
          <w:szCs w:val="28"/>
        </w:rPr>
        <w:t>一、对通用条款的补充内容</w:t>
      </w:r>
    </w:p>
    <w:bookmarkEnd w:id="40"/>
    <w:bookmarkEnd w:id="41"/>
    <w:bookmarkEnd w:id="42"/>
    <w:bookmarkEnd w:id="43"/>
    <w:bookmarkEnd w:id="44"/>
    <w:bookmarkEnd w:id="45"/>
    <w:bookmarkEnd w:id="46"/>
    <w:bookmarkEnd w:id="4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b/>
                <w:bCs/>
              </w:rPr>
            </w:pPr>
            <w:r>
              <w:rPr>
                <w:rFonts w:hint="eastAsia" w:ascii="宋体" w:hAnsi="宋体"/>
                <w:b/>
                <w:bCs/>
              </w:rPr>
              <w:t>序号</w:t>
            </w:r>
          </w:p>
        </w:tc>
        <w:tc>
          <w:tcPr>
            <w:tcW w:w="2160" w:type="dxa"/>
            <w:vAlign w:val="center"/>
          </w:tcPr>
          <w:p>
            <w:pPr>
              <w:jc w:val="center"/>
              <w:rPr>
                <w:rFonts w:ascii="宋体" w:hAnsi="宋体"/>
                <w:b/>
                <w:bCs/>
              </w:rPr>
            </w:pPr>
            <w:r>
              <w:rPr>
                <w:rFonts w:hint="eastAsia" w:ascii="宋体" w:hAnsi="宋体"/>
                <w:b/>
                <w:bCs/>
              </w:rPr>
              <w:t>内   容</w:t>
            </w:r>
          </w:p>
        </w:tc>
        <w:tc>
          <w:tcPr>
            <w:tcW w:w="5400" w:type="dxa"/>
            <w:vAlign w:val="center"/>
          </w:tcPr>
          <w:p>
            <w:pPr>
              <w:jc w:val="center"/>
              <w:rPr>
                <w:rFonts w:ascii="宋体" w:hAnsi="宋体"/>
                <w:b/>
                <w:bCs/>
              </w:rPr>
            </w:pPr>
            <w:r>
              <w:rPr>
                <w:rFonts w:hint="eastAsia" w:ascii="宋体" w:hAnsi="宋体"/>
                <w:b/>
                <w:bCs/>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rPr>
            </w:pPr>
            <w:r>
              <w:rPr>
                <w:rFonts w:hint="eastAsia" w:ascii="宋体" w:hAnsi="宋体"/>
              </w:rPr>
              <w:t>1</w:t>
            </w:r>
          </w:p>
        </w:tc>
        <w:tc>
          <w:tcPr>
            <w:tcW w:w="2160" w:type="dxa"/>
            <w:vAlign w:val="center"/>
          </w:tcPr>
          <w:p>
            <w:r>
              <w:rPr>
                <w:rFonts w:hint="eastAsia"/>
              </w:rPr>
              <w:t>联合体投标</w:t>
            </w:r>
          </w:p>
        </w:tc>
        <w:tc>
          <w:tcPr>
            <w:tcW w:w="5400" w:type="dxa"/>
            <w:vAlign w:val="center"/>
          </w:tcPr>
          <w:p>
            <w:pPr>
              <w:rPr>
                <w:rFonts w:ascii="宋体" w:hAnsi="宋体"/>
                <w:snapToGrid w:val="0"/>
                <w:kern w:val="0"/>
                <w:szCs w:val="32"/>
                <w:u w:val="single"/>
                <w:lang w:val="zh-CN"/>
              </w:rPr>
            </w:pPr>
            <w:r>
              <w:rPr>
                <w:rFonts w:hint="eastAsia" w:ascii="宋体" w:hAnsi="宋体"/>
                <w:snapToGrid w:val="0"/>
                <w:kern w:val="0"/>
                <w:szCs w:val="32"/>
                <w:u w:val="single"/>
                <w:lang w:val="zh-CN"/>
              </w:rPr>
              <w:t>见《招标公告》中“投标人资格要求”部分的相关内容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rPr>
            </w:pPr>
            <w:r>
              <w:rPr>
                <w:rFonts w:hint="eastAsia" w:ascii="宋体" w:hAnsi="宋体"/>
              </w:rPr>
              <w:t>2</w:t>
            </w:r>
          </w:p>
        </w:tc>
        <w:tc>
          <w:tcPr>
            <w:tcW w:w="2160" w:type="dxa"/>
            <w:vAlign w:val="center"/>
          </w:tcPr>
          <w:p>
            <w:pPr>
              <w:rPr>
                <w:rFonts w:ascii="宋体" w:hAnsi="宋体"/>
              </w:rPr>
            </w:pPr>
            <w:r>
              <w:rPr>
                <w:rFonts w:hint="eastAsia" w:ascii="宋体" w:hAnsi="宋体"/>
              </w:rPr>
              <w:t>投标有效期</w:t>
            </w:r>
          </w:p>
        </w:tc>
        <w:tc>
          <w:tcPr>
            <w:tcW w:w="5400" w:type="dxa"/>
            <w:vAlign w:val="center"/>
          </w:tcPr>
          <w:p>
            <w:pPr>
              <w:rPr>
                <w:rFonts w:ascii="宋体" w:hAnsi="宋体"/>
              </w:rPr>
            </w:pPr>
            <w:r>
              <w:rPr>
                <w:rFonts w:hint="eastAsia" w:ascii="宋体" w:hAnsi="宋体"/>
                <w:u w:val="single"/>
              </w:rPr>
              <w:t>120</w:t>
            </w:r>
            <w:r>
              <w:rPr>
                <w:rFonts w:ascii="宋体" w:hAnsi="宋体"/>
                <w:u w:val="single"/>
              </w:rPr>
              <w:t>日历天</w:t>
            </w:r>
            <w:r>
              <w:rPr>
                <w:rFonts w:ascii="宋体" w:hAnsi="宋体"/>
              </w:rPr>
              <w:t>（从投标截止之日算起）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rPr>
            </w:pPr>
            <w:r>
              <w:rPr>
                <w:rFonts w:hint="eastAsia" w:ascii="宋体" w:hAnsi="宋体"/>
              </w:rPr>
              <w:t>3</w:t>
            </w:r>
          </w:p>
        </w:tc>
        <w:tc>
          <w:tcPr>
            <w:tcW w:w="2160" w:type="dxa"/>
            <w:vAlign w:val="center"/>
          </w:tcPr>
          <w:p>
            <w:pPr>
              <w:rPr>
                <w:rFonts w:ascii="宋体" w:hAnsi="宋体"/>
              </w:rPr>
            </w:pPr>
            <w:r>
              <w:rPr>
                <w:rFonts w:hint="eastAsia" w:ascii="宋体" w:hAnsi="宋体"/>
              </w:rPr>
              <w:t>投标人的替代方案</w:t>
            </w:r>
          </w:p>
        </w:tc>
        <w:tc>
          <w:tcPr>
            <w:tcW w:w="5400" w:type="dxa"/>
            <w:vAlign w:val="center"/>
          </w:tcPr>
          <w:p>
            <w:pPr>
              <w:rPr>
                <w:rFonts w:ascii="宋体" w:hAnsi="宋体"/>
              </w:rPr>
            </w:pPr>
            <w:r>
              <w:rPr>
                <w:rFonts w:hint="eastAsia" w:ascii="宋体" w:hAnsi="宋体"/>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07" w:type="dxa"/>
            <w:vAlign w:val="center"/>
          </w:tcPr>
          <w:p>
            <w:pPr>
              <w:jc w:val="center"/>
              <w:rPr>
                <w:rFonts w:ascii="宋体" w:hAnsi="宋体"/>
              </w:rPr>
            </w:pPr>
            <w:r>
              <w:rPr>
                <w:rFonts w:hint="eastAsia" w:ascii="宋体" w:hAnsi="宋体"/>
              </w:rPr>
              <w:t>4</w:t>
            </w:r>
          </w:p>
        </w:tc>
        <w:tc>
          <w:tcPr>
            <w:tcW w:w="2160" w:type="dxa"/>
            <w:vAlign w:val="center"/>
          </w:tcPr>
          <w:p>
            <w:pPr>
              <w:rPr>
                <w:rFonts w:ascii="宋体" w:hAnsi="宋体"/>
              </w:rPr>
            </w:pPr>
            <w:r>
              <w:rPr>
                <w:rFonts w:hint="eastAsia" w:ascii="宋体" w:hAnsi="宋体"/>
              </w:rPr>
              <w:t>投标文件的投递</w:t>
            </w:r>
          </w:p>
        </w:tc>
        <w:tc>
          <w:tcPr>
            <w:tcW w:w="5400" w:type="dxa"/>
            <w:vAlign w:val="center"/>
          </w:tcPr>
          <w:p>
            <w:pPr>
              <w:rPr>
                <w:rFonts w:ascii="宋体" w:hAnsi="宋体"/>
              </w:rPr>
            </w:pPr>
            <w:r>
              <w:rPr>
                <w:rFonts w:hint="eastAsia" w:ascii="宋体" w:hAnsi="宋体"/>
              </w:rPr>
              <w:t>本项目实行网上投标，投标人必须在招标文件规定的投标截止时间前登录“深圳市政府采购网”，使用“应标管理</w:t>
            </w:r>
            <w:r>
              <w:rPr>
                <w:rFonts w:ascii="宋体" w:hAnsi="宋体"/>
              </w:rPr>
              <w:t>-&gt;上传投标文件”功能</w:t>
            </w:r>
            <w:r>
              <w:rPr>
                <w:rFonts w:hint="eastAsia" w:ascii="宋体" w:hAnsi="宋体"/>
              </w:rPr>
              <w:t>点，</w:t>
            </w:r>
            <w:r>
              <w:rPr>
                <w:rFonts w:ascii="宋体" w:hAnsi="宋体"/>
              </w:rPr>
              <w:t>将编制好的电子投标文件上传，投标文件大小不得超过</w:t>
            </w:r>
            <w:r>
              <w:rPr>
                <w:rFonts w:hint="eastAsia" w:ascii="宋体" w:hAnsi="宋体"/>
              </w:rPr>
              <w:t>10</w:t>
            </w:r>
            <w:r>
              <w:rPr>
                <w:rFonts w:ascii="宋体" w:hAnsi="宋体"/>
              </w:rPr>
              <w:t>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pPr>
              <w:jc w:val="center"/>
              <w:rPr>
                <w:rFonts w:ascii="宋体" w:hAnsi="宋体"/>
              </w:rPr>
            </w:pPr>
            <w:r>
              <w:rPr>
                <w:rFonts w:hint="eastAsia" w:ascii="宋体" w:hAnsi="宋体"/>
              </w:rPr>
              <w:t>5</w:t>
            </w:r>
          </w:p>
        </w:tc>
        <w:tc>
          <w:tcPr>
            <w:tcW w:w="2160" w:type="dxa"/>
            <w:vAlign w:val="center"/>
          </w:tcPr>
          <w:p>
            <w:pPr>
              <w:rPr>
                <w:rFonts w:ascii="宋体" w:hAnsi="宋体"/>
              </w:rPr>
            </w:pPr>
            <w:r>
              <w:rPr>
                <w:rFonts w:hint="eastAsia" w:ascii="宋体" w:hAnsi="宋体"/>
              </w:rPr>
              <w:t>履约保证金</w:t>
            </w:r>
          </w:p>
        </w:tc>
        <w:tc>
          <w:tcPr>
            <w:tcW w:w="5400" w:type="dxa"/>
            <w:vAlign w:val="center"/>
          </w:tcPr>
          <w:p>
            <w:pPr>
              <w:rPr>
                <w:rFonts w:ascii="宋体" w:hAnsi="宋体"/>
              </w:rPr>
            </w:pPr>
            <w:r>
              <w:rPr>
                <w:rFonts w:hint="eastAsia"/>
              </w:rPr>
              <w:t>本项目不适用</w:t>
            </w:r>
          </w:p>
        </w:tc>
      </w:tr>
    </w:tbl>
    <w:p>
      <w:pPr>
        <w:rPr>
          <w:b/>
        </w:rPr>
      </w:pPr>
      <w:r>
        <w:rPr>
          <w:rFonts w:hint="eastAsia"/>
          <w:szCs w:val="21"/>
        </w:rPr>
        <w:t>备注：本表为通用条款相关内容的补充和明确，如与通用条款相冲突的以本表为准。</w:t>
      </w:r>
    </w:p>
    <w:p>
      <w:pPr>
        <w:rPr>
          <w:b/>
        </w:rPr>
      </w:pPr>
    </w:p>
    <w:p>
      <w:pPr>
        <w:pStyle w:val="5"/>
        <w:spacing w:beforeLines="50" w:afterLines="50"/>
        <w:rPr>
          <w:b/>
          <w:bCs/>
        </w:rPr>
      </w:pPr>
      <w:bookmarkStart w:id="48" w:name="_Toc128884461"/>
      <w:r>
        <w:rPr>
          <w:rFonts w:hint="eastAsia"/>
          <w:b/>
          <w:bCs/>
          <w:sz w:val="28"/>
          <w:szCs w:val="28"/>
        </w:rPr>
        <w:t>二、实质性响应条款</w:t>
      </w:r>
    </w:p>
    <w:tbl>
      <w:tblPr>
        <w:tblStyle w:val="42"/>
        <w:tblW w:w="84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7"/>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pPr>
            <w:r>
              <w:rPr>
                <w:rFonts w:hint="eastAsia"/>
              </w:rPr>
              <w:t>序号</w:t>
            </w:r>
          </w:p>
        </w:tc>
        <w:tc>
          <w:tcPr>
            <w:tcW w:w="1757" w:type="dxa"/>
            <w:vAlign w:val="center"/>
          </w:tcPr>
          <w:p>
            <w:pPr>
              <w:jc w:val="center"/>
            </w:pPr>
            <w:r>
              <w:rPr>
                <w:rFonts w:hint="eastAsia"/>
              </w:rPr>
              <w:t>目录</w:t>
            </w:r>
          </w:p>
        </w:tc>
        <w:tc>
          <w:tcPr>
            <w:tcW w:w="5955" w:type="dxa"/>
            <w:vAlign w:val="center"/>
          </w:tcPr>
          <w:p>
            <w:pPr>
              <w:jc w:val="center"/>
            </w:pPr>
            <w:r>
              <w:rPr>
                <w:rFonts w:hint="eastAsia"/>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pPr>
            <w:r>
              <w:rPr>
                <w:rFonts w:hint="eastAsia"/>
              </w:rPr>
              <w:t>1</w:t>
            </w:r>
          </w:p>
        </w:tc>
        <w:tc>
          <w:tcPr>
            <w:tcW w:w="1757" w:type="dxa"/>
            <w:vAlign w:val="center"/>
          </w:tcPr>
          <w:p>
            <w:pPr>
              <w:jc w:val="center"/>
            </w:pPr>
            <w:r>
              <w:rPr>
                <w:rFonts w:hint="eastAsia"/>
              </w:rPr>
              <w:t>服务期限</w:t>
            </w:r>
          </w:p>
        </w:tc>
        <w:tc>
          <w:tcPr>
            <w:tcW w:w="5955" w:type="dxa"/>
            <w:vAlign w:val="center"/>
          </w:tcPr>
          <w:p>
            <w:pPr>
              <w:spacing w:line="276" w:lineRule="auto"/>
              <w:jc w:val="left"/>
              <w:rPr>
                <w:rFonts w:ascii="宋体" w:hAnsi="宋体"/>
                <w:szCs w:val="21"/>
              </w:rPr>
            </w:pPr>
            <w:r>
              <w:rPr>
                <w:rFonts w:hint="eastAsia"/>
              </w:rPr>
              <w:t>1.1.合同签订之日起120个日历日内。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9" w:type="dxa"/>
            <w:vAlign w:val="center"/>
          </w:tcPr>
          <w:p>
            <w:pPr>
              <w:jc w:val="center"/>
            </w:pPr>
            <w:r>
              <w:rPr>
                <w:rFonts w:hint="eastAsia"/>
              </w:rPr>
              <w:t>2</w:t>
            </w:r>
          </w:p>
        </w:tc>
        <w:tc>
          <w:tcPr>
            <w:tcW w:w="1757" w:type="dxa"/>
            <w:vAlign w:val="center"/>
          </w:tcPr>
          <w:p>
            <w:pPr>
              <w:jc w:val="center"/>
            </w:pPr>
            <w:r>
              <w:rPr>
                <w:rFonts w:hint="eastAsia"/>
              </w:rPr>
              <w:t>付款方式</w:t>
            </w:r>
          </w:p>
        </w:tc>
        <w:tc>
          <w:tcPr>
            <w:tcW w:w="5955" w:type="dxa"/>
            <w:vAlign w:val="center"/>
          </w:tcPr>
          <w:p>
            <w:pPr>
              <w:jc w:val="left"/>
            </w:pPr>
            <w:r>
              <w:rPr>
                <w:rFonts w:hint="eastAsia"/>
              </w:rPr>
              <w:t>2.1.合同签订后15个工作日内，向中标人支付协议总金额50%的款项。</w:t>
            </w:r>
          </w:p>
          <w:p>
            <w:pPr>
              <w:jc w:val="left"/>
            </w:pPr>
            <w:r>
              <w:rPr>
                <w:rFonts w:hint="eastAsia"/>
              </w:rPr>
              <w:t>2.2.中标人提交设计成果初稿，采购人组织内部评审后15个工作日内采购人向中标人支付合同总额的40％。</w:t>
            </w:r>
          </w:p>
          <w:p>
            <w:pPr>
              <w:jc w:val="left"/>
            </w:pPr>
            <w:r>
              <w:rPr>
                <w:rFonts w:hint="eastAsia"/>
              </w:rPr>
              <w:t>2.3.中标人完成所有设计委托工作，项目设计成果验收通过后10个工作日内采购人向中标人支付合同总额的10％。</w:t>
            </w:r>
          </w:p>
        </w:tc>
      </w:tr>
    </w:tbl>
    <w:p>
      <w:pPr>
        <w:pStyle w:val="6"/>
        <w:tabs>
          <w:tab w:val="left" w:pos="765"/>
        </w:tabs>
        <w:rPr>
          <w:rFonts w:ascii="黑体"/>
          <w:b w:val="0"/>
          <w:kern w:val="0"/>
          <w:sz w:val="24"/>
          <w:szCs w:val="24"/>
        </w:rPr>
      </w:pPr>
      <w:r>
        <w:rPr>
          <w:rFonts w:hint="eastAsia" w:ascii="黑体"/>
          <w:b w:val="0"/>
          <w:kern w:val="0"/>
          <w:sz w:val="24"/>
          <w:szCs w:val="24"/>
        </w:rPr>
        <w:t>注：上表所列内容为不可负偏离条款。</w:t>
      </w:r>
    </w:p>
    <w:p/>
    <w:p>
      <w:pPr>
        <w:pStyle w:val="2"/>
      </w:pPr>
    </w:p>
    <w:bookmarkEnd w:id="48"/>
    <w:p>
      <w:pPr>
        <w:pStyle w:val="5"/>
        <w:rPr>
          <w:b/>
          <w:bCs/>
          <w:sz w:val="28"/>
          <w:szCs w:val="28"/>
        </w:rPr>
      </w:pPr>
      <w:r>
        <w:rPr>
          <w:rFonts w:hint="eastAsia"/>
          <w:b/>
          <w:bCs/>
          <w:sz w:val="28"/>
          <w:szCs w:val="28"/>
        </w:rPr>
        <w:t>三、项目概况</w:t>
      </w:r>
    </w:p>
    <w:p>
      <w:pPr>
        <w:rPr>
          <w:b/>
        </w:rPr>
      </w:pPr>
      <w:r>
        <w:rPr>
          <w:rFonts w:hint="eastAsia" w:ascii="宋体" w:hAnsi="宋体"/>
          <w:b/>
          <w:szCs w:val="21"/>
        </w:rPr>
        <w:t>（一）</w:t>
      </w:r>
      <w:r>
        <w:rPr>
          <w:b/>
          <w:szCs w:val="21"/>
        </w:rPr>
        <w:t>预算</w:t>
      </w:r>
      <w:r>
        <w:rPr>
          <w:rFonts w:hint="eastAsia"/>
          <w:b/>
          <w:szCs w:val="21"/>
        </w:rPr>
        <w:t>金额:</w:t>
      </w:r>
      <w:r>
        <w:rPr>
          <w:rFonts w:hint="eastAsia"/>
          <w:b/>
        </w:rPr>
        <w:t xml:space="preserve"> </w:t>
      </w:r>
      <w:r>
        <w:rPr>
          <w:rFonts w:hint="eastAsia"/>
          <w:b/>
          <w:u w:val="single"/>
        </w:rPr>
        <w:t>1700000.00元</w:t>
      </w:r>
      <w:r>
        <w:rPr>
          <w:rFonts w:hint="eastAsia" w:ascii="宋体" w:hAnsi="宋体"/>
          <w:b/>
          <w:szCs w:val="21"/>
        </w:rPr>
        <w:t>，</w:t>
      </w:r>
      <w:r>
        <w:rPr>
          <w:b/>
          <w:szCs w:val="21"/>
        </w:rPr>
        <w:t>最高投标限价</w:t>
      </w:r>
      <w:r>
        <w:rPr>
          <w:rFonts w:hint="eastAsia"/>
          <w:b/>
          <w:szCs w:val="21"/>
        </w:rPr>
        <w:t>:</w:t>
      </w:r>
      <w:r>
        <w:rPr>
          <w:rFonts w:hint="eastAsia"/>
          <w:b/>
        </w:rPr>
        <w:t xml:space="preserve"> </w:t>
      </w:r>
      <w:r>
        <w:rPr>
          <w:rFonts w:hint="eastAsia"/>
          <w:b/>
          <w:u w:val="single"/>
        </w:rPr>
        <w:t>1700000.00元</w:t>
      </w:r>
    </w:p>
    <w:p>
      <w:pPr>
        <w:ind w:firstLine="420" w:firstLineChars="200"/>
      </w:pPr>
    </w:p>
    <w:p>
      <w:r>
        <w:rPr>
          <w:rFonts w:hint="eastAsia" w:ascii="宋体" w:hAnsi="宋体"/>
          <w:b/>
          <w:szCs w:val="21"/>
        </w:rPr>
        <w:t>（二）项目概况</w:t>
      </w:r>
      <w:r>
        <w:rPr>
          <w:rFonts w:hint="eastAsia"/>
        </w:rPr>
        <w:t xml:space="preserve"> </w:t>
      </w:r>
    </w:p>
    <w:p>
      <w:pPr>
        <w:ind w:firstLine="420" w:firstLineChars="200"/>
        <w:rPr>
          <w:bCs/>
          <w:szCs w:val="21"/>
          <w:lang w:val="zh-CN"/>
        </w:rPr>
      </w:pPr>
      <w:bookmarkStart w:id="49" w:name="_Toc12467033"/>
      <w:bookmarkStart w:id="50" w:name="_Toc12525222"/>
      <w:r>
        <w:rPr>
          <w:rFonts w:hint="eastAsia"/>
          <w:bCs/>
          <w:szCs w:val="21"/>
          <w:lang w:val="zh-CN"/>
        </w:rPr>
        <w:t>为配合深圳市智慧城市建设，加强深圳口岸信息化建设，提升口岸管理和服务水平、提高通关安全性和便利性。充分运用大数据、云计算、互联网+、物联网、BIM（建筑信息模型技术）等新兴信息技术建立智慧口岸管理平台，实现口岸公共服务智慧化、口岸通关一站式、口岸监管协同化、口岸反恐科技化、口岸运维智能化。通过智慧口岸平台推进“单一窗口”、“信息互换、监管互认、执法互助”、“电子口岸”建设，实现信息资源充分共享，全面提升口岸通关效率、降低通关成本，提高口岸管理水平，改善口岸通关环境，支持外贸发展，促进进出口稳定增长，深圳市人民政府口岸办公室（以下简称“市口岸办”）决定开展智慧</w:t>
      </w:r>
      <w:r>
        <w:rPr>
          <w:rFonts w:hint="eastAsia"/>
          <w:bCs/>
          <w:szCs w:val="21"/>
        </w:rPr>
        <w:t>口岸</w:t>
      </w:r>
      <w:r>
        <w:rPr>
          <w:rFonts w:hint="eastAsia"/>
          <w:bCs/>
          <w:szCs w:val="21"/>
          <w:lang w:val="zh-CN"/>
        </w:rPr>
        <w:t>项目</w:t>
      </w:r>
      <w:r>
        <w:rPr>
          <w:rFonts w:hint="eastAsia"/>
          <w:bCs/>
          <w:szCs w:val="21"/>
        </w:rPr>
        <w:t>规划</w:t>
      </w:r>
      <w:r>
        <w:rPr>
          <w:rFonts w:hint="eastAsia"/>
          <w:bCs/>
          <w:szCs w:val="21"/>
          <w:lang w:val="zh-CN"/>
        </w:rPr>
        <w:t>设计工作。</w:t>
      </w:r>
    </w:p>
    <w:p>
      <w:pPr>
        <w:ind w:firstLine="420" w:firstLineChars="200"/>
        <w:rPr>
          <w:bCs/>
          <w:szCs w:val="21"/>
        </w:rPr>
      </w:pPr>
      <w:r>
        <w:rPr>
          <w:rFonts w:hint="eastAsia"/>
          <w:bCs/>
          <w:szCs w:val="21"/>
          <w:lang w:val="zh-CN"/>
        </w:rPr>
        <w:t>根据市口岸办的总体部署，深圳智慧口岸项目设计工作推进，分为三个阶段：智慧口岸前期调研预论证、智慧口岸顶层规划设计、智慧口岸（落地）项目初步设计。目前第一阶段已经完成，</w:t>
      </w:r>
      <w:r>
        <w:rPr>
          <w:rFonts w:hint="eastAsia"/>
          <w:bCs/>
          <w:szCs w:val="21"/>
        </w:rPr>
        <w:t>为了进一步推动智慧口岸建设进程，拟开展智慧口岸顶层规划及智慧口岸一期初步设计。</w:t>
      </w:r>
      <w:bookmarkEnd w:id="49"/>
      <w:bookmarkEnd w:id="50"/>
    </w:p>
    <w:p>
      <w:pPr>
        <w:rPr>
          <w:b/>
          <w:szCs w:val="21"/>
        </w:rPr>
      </w:pPr>
      <w:r>
        <w:rPr>
          <w:rFonts w:hint="eastAsia"/>
          <w:b/>
          <w:szCs w:val="21"/>
        </w:rPr>
        <w:t>（三）服务类项目属性：</w:t>
      </w:r>
      <w:r>
        <w:rPr>
          <w:rFonts w:hint="eastAsia"/>
          <w:b/>
          <w:szCs w:val="21"/>
          <w:u w:val="single"/>
        </w:rPr>
        <w:t xml:space="preserve">   非长期服务项目    </w:t>
      </w:r>
    </w:p>
    <w:p>
      <w:pPr>
        <w:ind w:firstLine="315" w:firstLineChars="150"/>
        <w:rPr>
          <w:rFonts w:asciiTheme="minorEastAsia" w:hAnsiTheme="minorEastAsia" w:eastAsiaTheme="minorEastAsia"/>
          <w:szCs w:val="21"/>
        </w:rPr>
      </w:pPr>
    </w:p>
    <w:p>
      <w:pPr>
        <w:pStyle w:val="5"/>
        <w:spacing w:beforeLines="50" w:afterLines="50"/>
        <w:rPr>
          <w:rFonts w:cs="宋体"/>
          <w:b/>
          <w:bCs/>
          <w:szCs w:val="21"/>
        </w:rPr>
      </w:pPr>
      <w:r>
        <w:rPr>
          <w:rFonts w:hint="eastAsia"/>
          <w:b/>
          <w:bCs/>
          <w:sz w:val="28"/>
          <w:szCs w:val="28"/>
        </w:rPr>
        <w:t>四、项目技术要求</w:t>
      </w:r>
    </w:p>
    <w:p>
      <w:pPr>
        <w:spacing w:line="340" w:lineRule="exact"/>
        <w:rPr>
          <w:rFonts w:ascii="宋体" w:hAnsi="宋体" w:cs="宋体"/>
          <w:bCs/>
          <w:szCs w:val="21"/>
        </w:rPr>
      </w:pPr>
    </w:p>
    <w:p>
      <w:pPr>
        <w:numPr>
          <w:ilvl w:val="0"/>
          <w:numId w:val="8"/>
        </w:numPr>
        <w:spacing w:line="340" w:lineRule="exact"/>
        <w:rPr>
          <w:rFonts w:ascii="宋体" w:hAnsi="宋体" w:cs="宋体"/>
          <w:b/>
          <w:szCs w:val="21"/>
        </w:rPr>
      </w:pPr>
      <w:r>
        <w:rPr>
          <w:rFonts w:hint="eastAsia" w:ascii="宋体" w:hAnsi="宋体" w:cs="宋体"/>
          <w:b/>
          <w:szCs w:val="21"/>
        </w:rPr>
        <w:t>项目范围</w:t>
      </w:r>
    </w:p>
    <w:p>
      <w:pPr>
        <w:numPr>
          <w:ilvl w:val="1"/>
          <w:numId w:val="8"/>
        </w:numPr>
        <w:spacing w:line="340" w:lineRule="exact"/>
        <w:rPr>
          <w:rFonts w:ascii="宋体" w:hAnsi="宋体" w:cs="宋体"/>
          <w:bCs/>
          <w:szCs w:val="21"/>
          <w:lang w:val="zh-CN"/>
        </w:rPr>
      </w:pPr>
      <w:r>
        <w:rPr>
          <w:rFonts w:hint="eastAsia" w:ascii="宋体" w:hAnsi="宋体" w:cs="宋体"/>
          <w:bCs/>
          <w:szCs w:val="21"/>
          <w:lang w:val="zh-CN"/>
        </w:rPr>
        <w:t>智慧口岸顶层规划范围涵盖智慧口岸顶层架构概念模型、智慧口岸评价指标体系设计、顶层架构模型和总体框架设计、智慧口岸整体发展规划设计、社会和经济效益分析、风险分析等。</w:t>
      </w:r>
    </w:p>
    <w:p>
      <w:pPr>
        <w:numPr>
          <w:ilvl w:val="1"/>
          <w:numId w:val="8"/>
        </w:numPr>
        <w:spacing w:line="340" w:lineRule="exact"/>
        <w:rPr>
          <w:rFonts w:ascii="宋体" w:hAnsi="宋体" w:cs="宋体"/>
          <w:kern w:val="0"/>
          <w:szCs w:val="21"/>
          <w:lang w:val="zh-CN"/>
        </w:rPr>
      </w:pPr>
      <w:r>
        <w:rPr>
          <w:rFonts w:hint="eastAsia" w:ascii="宋体" w:hAnsi="宋体" w:cs="宋体"/>
          <w:bCs/>
          <w:szCs w:val="21"/>
          <w:lang w:val="zh-CN"/>
        </w:rPr>
        <w:t>智慧口岸一期初步设计</w:t>
      </w:r>
      <w:r>
        <w:rPr>
          <w:rFonts w:hint="eastAsia" w:ascii="宋体" w:hAnsi="宋体" w:cs="宋体"/>
          <w:bCs/>
          <w:szCs w:val="21"/>
        </w:rPr>
        <w:t>在对口岸现状调研分析的基础上，提出一期建设内容、规模合理化建议，编制立</w:t>
      </w:r>
      <w:r>
        <w:rPr>
          <w:rFonts w:hint="eastAsia" w:ascii="宋体" w:hAnsi="宋体" w:cs="宋体"/>
          <w:kern w:val="0"/>
          <w:szCs w:val="21"/>
        </w:rPr>
        <w:t>项方案及初步设计文件。</w:t>
      </w:r>
    </w:p>
    <w:p>
      <w:pPr>
        <w:spacing w:line="340" w:lineRule="exact"/>
        <w:ind w:firstLine="907"/>
        <w:rPr>
          <w:lang w:val="zh-CN"/>
        </w:rPr>
      </w:pPr>
    </w:p>
    <w:p>
      <w:pPr>
        <w:numPr>
          <w:ilvl w:val="0"/>
          <w:numId w:val="8"/>
        </w:numPr>
        <w:spacing w:line="340" w:lineRule="exact"/>
        <w:rPr>
          <w:rFonts w:ascii="宋体" w:hAnsi="宋体" w:cs="宋体"/>
          <w:b/>
          <w:szCs w:val="21"/>
        </w:rPr>
      </w:pPr>
      <w:bookmarkStart w:id="51" w:name="_Toc12525223"/>
      <w:bookmarkStart w:id="52" w:name="_Toc28339"/>
      <w:bookmarkStart w:id="53" w:name="_Toc12465296"/>
      <w:r>
        <w:rPr>
          <w:rFonts w:hint="eastAsia" w:ascii="宋体" w:hAnsi="宋体" w:cs="宋体"/>
          <w:b/>
          <w:szCs w:val="21"/>
        </w:rPr>
        <w:t>总体要求</w:t>
      </w:r>
      <w:bookmarkEnd w:id="51"/>
      <w:bookmarkEnd w:id="52"/>
      <w:bookmarkEnd w:id="53"/>
    </w:p>
    <w:p>
      <w:pPr>
        <w:numPr>
          <w:ilvl w:val="1"/>
          <w:numId w:val="8"/>
        </w:numPr>
        <w:spacing w:line="340" w:lineRule="exact"/>
        <w:rPr>
          <w:rFonts w:ascii="宋体" w:hAnsi="宋体" w:cs="宋体"/>
          <w:bCs/>
          <w:szCs w:val="21"/>
        </w:rPr>
      </w:pPr>
      <w:bookmarkStart w:id="54" w:name="_Toc12467038"/>
      <w:bookmarkStart w:id="55" w:name="_Toc12525227"/>
      <w:r>
        <w:rPr>
          <w:rFonts w:hint="eastAsia" w:ascii="宋体" w:hAnsi="宋体" w:cs="宋体"/>
          <w:bCs/>
          <w:szCs w:val="21"/>
        </w:rPr>
        <w:t>投标人应根据国家、省市有关要求，安排具备相应专业资质和实践经验的专业团队开展调研。</w:t>
      </w:r>
    </w:p>
    <w:p>
      <w:pPr>
        <w:numPr>
          <w:ilvl w:val="1"/>
          <w:numId w:val="8"/>
        </w:numPr>
        <w:spacing w:line="340" w:lineRule="exact"/>
        <w:rPr>
          <w:rFonts w:ascii="宋体" w:hAnsi="宋体" w:cs="宋体"/>
          <w:bCs/>
          <w:szCs w:val="21"/>
        </w:rPr>
      </w:pPr>
      <w:r>
        <w:rPr>
          <w:rFonts w:hint="eastAsia" w:ascii="宋体" w:hAnsi="宋体" w:cs="宋体"/>
          <w:bCs/>
          <w:szCs w:val="21"/>
        </w:rPr>
        <w:t>投标人应坚持目标导向、应用导向和特色导向，按照科学创新、合理布局、近远期建设结合的原则，认真分析谋划，提交智慧口岸的总体思路、远景目标、主要任务、运营模式、实施步骤、保障措施、造价估算等内容。</w:t>
      </w:r>
    </w:p>
    <w:p>
      <w:pPr>
        <w:numPr>
          <w:ilvl w:val="1"/>
          <w:numId w:val="8"/>
        </w:numPr>
        <w:spacing w:line="340" w:lineRule="exact"/>
        <w:rPr>
          <w:rFonts w:ascii="宋体" w:hAnsi="宋体" w:cs="宋体"/>
          <w:bCs/>
          <w:szCs w:val="21"/>
        </w:rPr>
      </w:pPr>
      <w:r>
        <w:rPr>
          <w:rFonts w:hint="eastAsia" w:ascii="宋体" w:hAnsi="宋体" w:cs="宋体"/>
          <w:bCs/>
          <w:szCs w:val="21"/>
        </w:rPr>
        <w:t>投标人应对智慧口岸现状及需求进行分析，应编制智慧口岸的总体规划方案，结合区域信息化建设情况，立足实际、明确定位、突出特色。为智慧口岸一期工程具体设计、建设、运营、管理等方面，提供指引及支持。</w:t>
      </w:r>
    </w:p>
    <w:p>
      <w:pPr>
        <w:numPr>
          <w:ilvl w:val="1"/>
          <w:numId w:val="8"/>
        </w:numPr>
        <w:spacing w:line="340" w:lineRule="exact"/>
        <w:rPr>
          <w:rFonts w:ascii="宋体" w:hAnsi="宋体" w:cs="宋体"/>
          <w:bCs/>
          <w:szCs w:val="21"/>
        </w:rPr>
      </w:pPr>
      <w:r>
        <w:rPr>
          <w:rFonts w:hint="eastAsia" w:ascii="宋体" w:hAnsi="宋体" w:cs="宋体"/>
          <w:bCs/>
          <w:szCs w:val="21"/>
        </w:rPr>
        <w:t>投标人应口岸办管辖的具体业务需求作为智慧口岸建设的立足点，结合科学创新的方案，推动新一代信息技术及智慧产品和服务广泛应用。</w:t>
      </w:r>
    </w:p>
    <w:p>
      <w:pPr>
        <w:numPr>
          <w:ilvl w:val="1"/>
          <w:numId w:val="8"/>
        </w:numPr>
        <w:spacing w:line="340" w:lineRule="exact"/>
        <w:rPr>
          <w:rFonts w:ascii="宋体" w:hAnsi="宋体" w:cs="宋体"/>
          <w:bCs/>
          <w:szCs w:val="21"/>
        </w:rPr>
      </w:pPr>
      <w:r>
        <w:rPr>
          <w:rFonts w:hint="eastAsia" w:ascii="宋体" w:hAnsi="宋体" w:cs="宋体"/>
          <w:bCs/>
          <w:szCs w:val="21"/>
        </w:rPr>
        <w:t>投标人应提供最优的信息基础设施及资源整合方案，应从运营管理角度出发，从数据安全、网络安全等方面，提出智慧口岸信息安全技术保护规划方案，包括但不限于：制定网络行为管理、备份恢复机制、网络安全应急预案等。为智慧口岸发展提供安全、可靠、可落地、适度超前的基础网络和信息安全保障体系，突出资源的集约建设、数据的整合共享，应能与深圳市数据共享平台数据库互通互联。</w:t>
      </w:r>
    </w:p>
    <w:p>
      <w:pPr>
        <w:numPr>
          <w:ilvl w:val="1"/>
          <w:numId w:val="8"/>
        </w:numPr>
        <w:spacing w:line="340" w:lineRule="exact"/>
        <w:rPr>
          <w:rFonts w:ascii="宋体" w:hAnsi="宋体" w:cs="宋体"/>
          <w:bCs/>
          <w:szCs w:val="21"/>
        </w:rPr>
      </w:pPr>
      <w:r>
        <w:rPr>
          <w:rFonts w:hint="eastAsia" w:ascii="宋体" w:hAnsi="宋体" w:cs="宋体"/>
          <w:bCs/>
          <w:szCs w:val="21"/>
        </w:rPr>
        <w:t>投标人应在政策上与中央、地方、行业相关政策文件（法规、技术规范及标准等）保持一致，特别是要参考国家住建部、工信部等关于智慧城市创建指标体系的要求。</w:t>
      </w:r>
    </w:p>
    <w:p>
      <w:pPr>
        <w:numPr>
          <w:ilvl w:val="1"/>
          <w:numId w:val="8"/>
        </w:numPr>
        <w:spacing w:line="340" w:lineRule="exact"/>
        <w:rPr>
          <w:rFonts w:ascii="宋体" w:hAnsi="宋体" w:cs="宋体"/>
          <w:bCs/>
          <w:szCs w:val="21"/>
        </w:rPr>
      </w:pPr>
      <w:r>
        <w:rPr>
          <w:rFonts w:hint="eastAsia" w:ascii="宋体" w:hAnsi="宋体" w:cs="宋体"/>
          <w:bCs/>
          <w:szCs w:val="21"/>
        </w:rPr>
        <w:t>投标人应高起点、高标准、高水平、高质量进行智慧口岸总体规划，立足深圳口岸发展的实际和定位，既要突出创新性、前瞻性，又要务实、可操作。在具体内容和工程建设方面，要特色鲜明，亮点突出。</w:t>
      </w:r>
    </w:p>
    <w:p>
      <w:pPr>
        <w:numPr>
          <w:ilvl w:val="1"/>
          <w:numId w:val="8"/>
        </w:numPr>
        <w:spacing w:line="340" w:lineRule="exact"/>
        <w:rPr>
          <w:rFonts w:ascii="宋体" w:hAnsi="宋体" w:cs="宋体"/>
          <w:bCs/>
          <w:szCs w:val="21"/>
        </w:rPr>
      </w:pPr>
      <w:r>
        <w:rPr>
          <w:rFonts w:hint="eastAsia" w:ascii="宋体" w:hAnsi="宋体" w:cs="宋体"/>
          <w:bCs/>
          <w:szCs w:val="21"/>
        </w:rPr>
        <w:t>投标人应保证不因有关技术的专利导致招标人被引入法律纠纷。</w:t>
      </w:r>
    </w:p>
    <w:p>
      <w:pPr>
        <w:numPr>
          <w:ilvl w:val="1"/>
          <w:numId w:val="8"/>
        </w:numPr>
        <w:spacing w:line="340" w:lineRule="exact"/>
        <w:rPr>
          <w:rFonts w:ascii="宋体" w:hAnsi="宋体" w:cs="宋体"/>
          <w:bCs/>
          <w:szCs w:val="21"/>
        </w:rPr>
      </w:pPr>
      <w:r>
        <w:rPr>
          <w:rFonts w:hint="eastAsia" w:ascii="宋体" w:hAnsi="宋体" w:cs="宋体"/>
          <w:bCs/>
          <w:szCs w:val="21"/>
        </w:rPr>
        <w:t>投标人应负有保密责任，不得向无关方面透露本项目信息。</w:t>
      </w:r>
    </w:p>
    <w:p>
      <w:pPr>
        <w:numPr>
          <w:ilvl w:val="1"/>
          <w:numId w:val="8"/>
        </w:numPr>
        <w:spacing w:line="340" w:lineRule="exact"/>
        <w:rPr>
          <w:rFonts w:ascii="宋体" w:hAnsi="宋体" w:cs="宋体"/>
          <w:bCs/>
          <w:szCs w:val="21"/>
        </w:rPr>
      </w:pPr>
      <w:r>
        <w:rPr>
          <w:rFonts w:hint="eastAsia" w:ascii="宋体" w:hAnsi="宋体" w:cs="宋体"/>
          <w:bCs/>
          <w:szCs w:val="21"/>
        </w:rPr>
        <w:t>投标人应基于新一代通信及信息技术，通过对物联网、云计算、大数据、VR、AR、AI、机器人等技术互联及智能融合的应用，以机电设备、信息基础设施、大数据公共服务平台为媒介，形成智慧口岸规划方案。</w:t>
      </w:r>
    </w:p>
    <w:p>
      <w:pPr>
        <w:numPr>
          <w:ilvl w:val="1"/>
          <w:numId w:val="8"/>
        </w:numPr>
        <w:spacing w:line="340" w:lineRule="exact"/>
        <w:rPr>
          <w:rFonts w:ascii="宋体" w:hAnsi="宋体" w:cs="宋体"/>
          <w:bCs/>
          <w:szCs w:val="21"/>
        </w:rPr>
      </w:pPr>
      <w:r>
        <w:rPr>
          <w:rFonts w:hint="eastAsia" w:ascii="宋体" w:hAnsi="宋体" w:cs="宋体"/>
          <w:bCs/>
          <w:szCs w:val="21"/>
        </w:rPr>
        <w:t xml:space="preserve">投标人应根据招标人需求，参照国家、地方、行业标准和智慧化最佳实践，按照标准化、完整性、开放性、兼容性、安全性、稳定性、可拓展性的总体原则，提供智慧化规划总体方案。 </w:t>
      </w:r>
    </w:p>
    <w:p>
      <w:pPr>
        <w:numPr>
          <w:ilvl w:val="2"/>
          <w:numId w:val="8"/>
        </w:numPr>
        <w:spacing w:line="340" w:lineRule="exact"/>
        <w:rPr>
          <w:rFonts w:ascii="宋体" w:hAnsi="宋体" w:cs="宋体"/>
          <w:bCs/>
          <w:szCs w:val="21"/>
        </w:rPr>
      </w:pPr>
      <w:r>
        <w:rPr>
          <w:rFonts w:hint="eastAsia" w:ascii="宋体" w:hAnsi="宋体" w:cs="宋体"/>
          <w:bCs/>
          <w:szCs w:val="21"/>
        </w:rPr>
        <w:t xml:space="preserve">标准化原则：投标人在实施过程中的调研分析、总体规划、方案设计、实施指导等各阶段，应遵循国内标准及行业标准原则，形成规范化、标准化的成果。 </w:t>
      </w:r>
    </w:p>
    <w:p>
      <w:pPr>
        <w:numPr>
          <w:ilvl w:val="2"/>
          <w:numId w:val="8"/>
        </w:numPr>
        <w:spacing w:line="340" w:lineRule="exact"/>
        <w:rPr>
          <w:rFonts w:ascii="宋体" w:hAnsi="宋体" w:cs="宋体"/>
          <w:bCs/>
          <w:szCs w:val="21"/>
        </w:rPr>
      </w:pPr>
      <w:r>
        <w:rPr>
          <w:rFonts w:hint="eastAsia" w:ascii="宋体" w:hAnsi="宋体" w:cs="宋体"/>
          <w:bCs/>
          <w:szCs w:val="21"/>
        </w:rPr>
        <w:t xml:space="preserve">开放性原则：智慧口岸方案和系统开发，应符合开放性原则，具备优良的可拓展性、可升级性和灵活性，应广泛支持各类应用系统平台。 </w:t>
      </w:r>
    </w:p>
    <w:p>
      <w:pPr>
        <w:numPr>
          <w:ilvl w:val="2"/>
          <w:numId w:val="8"/>
        </w:numPr>
        <w:spacing w:line="340" w:lineRule="exact"/>
        <w:rPr>
          <w:rFonts w:ascii="宋体" w:hAnsi="宋体" w:cs="宋体"/>
          <w:bCs/>
          <w:szCs w:val="21"/>
        </w:rPr>
      </w:pPr>
      <w:r>
        <w:rPr>
          <w:rFonts w:hint="eastAsia" w:ascii="宋体" w:hAnsi="宋体" w:cs="宋体"/>
          <w:bCs/>
          <w:szCs w:val="21"/>
        </w:rPr>
        <w:t xml:space="preserve">兼容性原则：智慧口岸内各智慧系统应完全兼容、紧密衔接、高度集成、组成整体。 </w:t>
      </w:r>
    </w:p>
    <w:p>
      <w:pPr>
        <w:numPr>
          <w:ilvl w:val="2"/>
          <w:numId w:val="8"/>
        </w:numPr>
        <w:spacing w:line="340" w:lineRule="exact"/>
        <w:rPr>
          <w:rFonts w:ascii="宋体" w:hAnsi="宋体" w:cs="宋体"/>
          <w:bCs/>
          <w:szCs w:val="21"/>
        </w:rPr>
      </w:pPr>
      <w:r>
        <w:rPr>
          <w:rFonts w:hint="eastAsia" w:ascii="宋体" w:hAnsi="宋体" w:cs="宋体"/>
          <w:bCs/>
          <w:szCs w:val="21"/>
        </w:rPr>
        <w:t xml:space="preserve">安全性原则：智慧口岸管理平台及各子系统，应符合相关的安全等级（参照等保2.0），确保安全运行。 </w:t>
      </w:r>
    </w:p>
    <w:p>
      <w:pPr>
        <w:numPr>
          <w:ilvl w:val="2"/>
          <w:numId w:val="8"/>
        </w:numPr>
        <w:spacing w:line="340" w:lineRule="exact"/>
        <w:rPr>
          <w:rFonts w:ascii="宋体" w:hAnsi="宋体" w:cs="宋体"/>
          <w:bCs/>
          <w:szCs w:val="21"/>
        </w:rPr>
      </w:pPr>
      <w:r>
        <w:rPr>
          <w:rFonts w:hint="eastAsia" w:ascii="宋体" w:hAnsi="宋体" w:cs="宋体"/>
          <w:bCs/>
          <w:szCs w:val="21"/>
        </w:rPr>
        <w:t xml:space="preserve">稳定性原则：智慧口岸管理平台及各子系统，应采用稳定、可行的技术。 </w:t>
      </w:r>
    </w:p>
    <w:p>
      <w:pPr>
        <w:numPr>
          <w:ilvl w:val="2"/>
          <w:numId w:val="8"/>
        </w:numPr>
        <w:spacing w:line="340" w:lineRule="exact"/>
        <w:rPr>
          <w:rFonts w:asciiTheme="minorEastAsia" w:hAnsiTheme="minorEastAsia" w:eastAsiaTheme="minorEastAsia" w:cstheme="minorEastAsia"/>
        </w:rPr>
      </w:pPr>
      <w:r>
        <w:rPr>
          <w:rFonts w:hint="eastAsia" w:ascii="宋体" w:hAnsi="宋体" w:cs="宋体"/>
          <w:bCs/>
          <w:szCs w:val="21"/>
        </w:rPr>
        <w:t>可拓展性原则：投标人应根据本工程分期建设情况，智慧口岸应用系统应能够适应未来发展，系</w:t>
      </w:r>
      <w:r>
        <w:rPr>
          <w:rFonts w:hint="eastAsia" w:asciiTheme="minorEastAsia" w:hAnsiTheme="minorEastAsia" w:eastAsiaTheme="minorEastAsia" w:cstheme="minorEastAsia"/>
        </w:rPr>
        <w:t>统应具有可拓展性。</w:t>
      </w:r>
    </w:p>
    <w:p>
      <w:pPr>
        <w:spacing w:line="340" w:lineRule="exact"/>
        <w:ind w:firstLine="907"/>
      </w:pPr>
    </w:p>
    <w:p>
      <w:pPr>
        <w:numPr>
          <w:ilvl w:val="0"/>
          <w:numId w:val="8"/>
        </w:numPr>
        <w:spacing w:line="340" w:lineRule="exact"/>
        <w:rPr>
          <w:rFonts w:ascii="宋体" w:hAnsi="宋体" w:cs="宋体"/>
          <w:b/>
          <w:szCs w:val="21"/>
        </w:rPr>
      </w:pPr>
      <w:bookmarkStart w:id="56" w:name="_Toc17566"/>
      <w:r>
        <w:rPr>
          <w:rFonts w:hint="eastAsia" w:ascii="宋体" w:hAnsi="宋体" w:cs="宋体"/>
          <w:b/>
          <w:szCs w:val="21"/>
        </w:rPr>
        <w:t>项目内容</w:t>
      </w:r>
      <w:bookmarkEnd w:id="54"/>
      <w:bookmarkEnd w:id="55"/>
      <w:bookmarkEnd w:id="56"/>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投标人提交的智慧口岸顶层规划及智慧口岸一期初步设计，包括但不限于以下需</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求。</w:t>
      </w:r>
    </w:p>
    <w:p>
      <w:pPr>
        <w:numPr>
          <w:ilvl w:val="1"/>
          <w:numId w:val="8"/>
        </w:numPr>
        <w:spacing w:line="340" w:lineRule="exact"/>
        <w:rPr>
          <w:rFonts w:asciiTheme="minorEastAsia" w:hAnsiTheme="minorEastAsia" w:eastAsiaTheme="minorEastAsia" w:cstheme="minorEastAsia"/>
        </w:rPr>
      </w:pPr>
      <w:bookmarkStart w:id="57" w:name="_Toc4313"/>
      <w:r>
        <w:rPr>
          <w:rFonts w:hint="eastAsia" w:asciiTheme="minorEastAsia" w:hAnsiTheme="minorEastAsia" w:eastAsiaTheme="minorEastAsia" w:cstheme="minorEastAsia"/>
        </w:rPr>
        <w:t>智慧口岸顶层规划</w:t>
      </w:r>
      <w:bookmarkEnd w:id="57"/>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深圳市智慧口岸顶层设计项目，旨在为深圳市智慧口岸建设和实施方案提供口岸</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管理、业务和服务的设计依据，提供技术支撑及专家咨询服务，以更好地推动深</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圳智慧口岸建设，推动深圳口岸智慧应用场景落地实施。</w:t>
      </w:r>
    </w:p>
    <w:p>
      <w:pPr>
        <w:numPr>
          <w:ilvl w:val="2"/>
          <w:numId w:val="8"/>
        </w:numPr>
        <w:spacing w:line="340" w:lineRule="exact"/>
        <w:rPr>
          <w:rFonts w:asciiTheme="minorEastAsia" w:hAnsiTheme="minorEastAsia" w:eastAsiaTheme="minorEastAsia" w:cstheme="minorEastAsia"/>
        </w:rPr>
      </w:pPr>
      <w:bookmarkStart w:id="58" w:name="_Toc9508"/>
      <w:bookmarkStart w:id="59" w:name="_Toc12467040"/>
      <w:bookmarkStart w:id="60" w:name="_Toc12525230"/>
      <w:r>
        <w:rPr>
          <w:rFonts w:hint="eastAsia" w:asciiTheme="minorEastAsia" w:hAnsiTheme="minorEastAsia" w:eastAsiaTheme="minorEastAsia" w:cstheme="minorEastAsia"/>
        </w:rPr>
        <w:t>智慧口岸顶层架构概念模型</w:t>
      </w:r>
      <w:bookmarkEnd w:id="58"/>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通过对深圳各口岸、口岸各政府部门、口岸办的信息化现状及需求调研情况，明</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确业务领域中的全局性概念以及概念之间的关系，建立智慧口岸顶层架构概念模</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型。</w:t>
      </w:r>
    </w:p>
    <w:p>
      <w:pPr>
        <w:numPr>
          <w:ilvl w:val="2"/>
          <w:numId w:val="8"/>
        </w:numPr>
        <w:spacing w:line="340" w:lineRule="exact"/>
        <w:rPr>
          <w:rFonts w:asciiTheme="minorEastAsia" w:hAnsiTheme="minorEastAsia" w:eastAsiaTheme="minorEastAsia" w:cstheme="minorEastAsia"/>
        </w:rPr>
      </w:pPr>
      <w:bookmarkStart w:id="61" w:name="_Toc5247"/>
      <w:r>
        <w:rPr>
          <w:rFonts w:hint="eastAsia" w:asciiTheme="minorEastAsia" w:hAnsiTheme="minorEastAsia" w:eastAsiaTheme="minorEastAsia" w:cstheme="minorEastAsia"/>
        </w:rPr>
        <w:t>智慧口岸评价指标体系设计</w:t>
      </w:r>
      <w:bookmarkEnd w:id="61"/>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收集深圳各口岸、口岸各政府部门、口岸办相关的信息化资料，明确智慧口岸质</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量要求，进行评价指标体系设计；建立相应的统计指标系统，为评价指标体系各</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项指标所需要的统计数据进行清晰、系统、有层次地展示。</w:t>
      </w:r>
    </w:p>
    <w:p>
      <w:pPr>
        <w:numPr>
          <w:ilvl w:val="2"/>
          <w:numId w:val="8"/>
        </w:numPr>
        <w:spacing w:line="340" w:lineRule="exact"/>
        <w:rPr>
          <w:rFonts w:asciiTheme="minorEastAsia" w:hAnsiTheme="minorEastAsia" w:eastAsiaTheme="minorEastAsia" w:cstheme="minorEastAsia"/>
        </w:rPr>
      </w:pPr>
      <w:bookmarkStart w:id="62" w:name="_Toc15401"/>
      <w:r>
        <w:rPr>
          <w:rFonts w:hint="eastAsia" w:asciiTheme="minorEastAsia" w:hAnsiTheme="minorEastAsia" w:eastAsiaTheme="minorEastAsia" w:cstheme="minorEastAsia"/>
        </w:rPr>
        <w:t>顶层架构模型和总体框架设计</w:t>
      </w:r>
      <w:bookmarkEnd w:id="62"/>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从智慧口岸全局的视角出发，对深圳口岸信息化现状及智慧口岸需求进行总体、</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全面的梳理和分析，确定顶层架构及总体框架，进行智慧口岸顶层架构模型和总</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体框架设计，科学指导智慧口岸建设。</w:t>
      </w:r>
    </w:p>
    <w:p>
      <w:pPr>
        <w:numPr>
          <w:ilvl w:val="2"/>
          <w:numId w:val="8"/>
        </w:numPr>
        <w:spacing w:line="340" w:lineRule="exact"/>
      </w:pPr>
      <w:bookmarkStart w:id="63" w:name="_Toc13479"/>
      <w:r>
        <w:rPr>
          <w:rFonts w:hint="eastAsia" w:asciiTheme="minorEastAsia" w:hAnsiTheme="minorEastAsia" w:eastAsiaTheme="minorEastAsia" w:cstheme="minorEastAsia"/>
        </w:rPr>
        <w:t>智慧口岸整体发展规划设计</w:t>
      </w:r>
      <w:bookmarkEnd w:id="63"/>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统筹考虑和协调智慧口岸业务、信息、应用、技术和机制等各要素之间的关系，</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使信息系统的效益最大化，明确规划任务与建设目标，制定实现目标的路径和战</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略战术，建立智慧口岸整体发展规划设计，输出规划期内建设项目清单及初步投</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资匡算参考。</w:t>
      </w:r>
    </w:p>
    <w:p>
      <w:pPr>
        <w:numPr>
          <w:ilvl w:val="2"/>
          <w:numId w:val="8"/>
        </w:numPr>
        <w:spacing w:line="340" w:lineRule="exact"/>
        <w:rPr>
          <w:rFonts w:asciiTheme="minorEastAsia" w:hAnsiTheme="minorEastAsia" w:eastAsiaTheme="minorEastAsia" w:cstheme="minorEastAsia"/>
        </w:rPr>
      </w:pPr>
      <w:bookmarkStart w:id="64" w:name="_Toc19118"/>
      <w:r>
        <w:rPr>
          <w:rFonts w:hint="eastAsia" w:asciiTheme="minorEastAsia" w:hAnsiTheme="minorEastAsia" w:eastAsiaTheme="minorEastAsia" w:cstheme="minorEastAsia"/>
        </w:rPr>
        <w:t>社会和经济效益分析</w:t>
      </w:r>
      <w:bookmarkEnd w:id="64"/>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基于深圳各陆路口岸、口岸各政府部门、口岸办的信息化现状，对智慧口岸建设</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的经济利益与社会效益的进行深入剖析与研究。</w:t>
      </w:r>
    </w:p>
    <w:p>
      <w:pPr>
        <w:numPr>
          <w:ilvl w:val="2"/>
          <w:numId w:val="8"/>
        </w:numPr>
        <w:spacing w:line="340" w:lineRule="exact"/>
        <w:rPr>
          <w:rFonts w:asciiTheme="minorEastAsia" w:hAnsiTheme="minorEastAsia" w:eastAsiaTheme="minorEastAsia" w:cstheme="minorEastAsia"/>
        </w:rPr>
      </w:pPr>
      <w:bookmarkStart w:id="65" w:name="_Toc24648"/>
      <w:r>
        <w:rPr>
          <w:rFonts w:hint="eastAsia" w:asciiTheme="minorEastAsia" w:hAnsiTheme="minorEastAsia" w:eastAsiaTheme="minorEastAsia" w:cstheme="minorEastAsia"/>
        </w:rPr>
        <w:t>风险分析</w:t>
      </w:r>
      <w:bookmarkEnd w:id="65"/>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基于智慧口岸建设，进行风险识别、风险估计、风险管理策略、风险解决和风险</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监督。分析智慧口岸建设的风险，提出可行的实施建议，从而尽量规避规划的缺</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陷和不足，从根本上减少智慧口岸建设的风险。</w:t>
      </w:r>
    </w:p>
    <w:bookmarkEnd w:id="59"/>
    <w:bookmarkEnd w:id="60"/>
    <w:p>
      <w:pPr>
        <w:numPr>
          <w:ilvl w:val="1"/>
          <w:numId w:val="8"/>
        </w:numPr>
        <w:spacing w:line="340" w:lineRule="exact"/>
        <w:rPr>
          <w:rFonts w:asciiTheme="minorEastAsia" w:hAnsiTheme="minorEastAsia" w:eastAsiaTheme="minorEastAsia" w:cstheme="minorEastAsia"/>
        </w:rPr>
      </w:pPr>
      <w:bookmarkStart w:id="66" w:name="_Toc21977"/>
      <w:r>
        <w:rPr>
          <w:rFonts w:hint="eastAsia" w:asciiTheme="minorEastAsia" w:hAnsiTheme="minorEastAsia" w:eastAsiaTheme="minorEastAsia" w:cstheme="minorEastAsia"/>
        </w:rPr>
        <w:t>智慧口岸一期初步设计</w:t>
      </w:r>
      <w:bookmarkEnd w:id="66"/>
      <w:bookmarkStart w:id="67" w:name="_Toc12467041"/>
      <w:bookmarkStart w:id="68" w:name="_Toc12525231"/>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深圳市智慧口岸一期初步设计，以先进理念为指导，立足问题和需求导向，在对</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口岸现状调研分析的基础上，提出一期建设内容、规模合理化建议，编制立项方</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案。完成相关主管部门评审，对设计方案进行修改完善，直至评审通过并获得主</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管部门批复。初步设计方案深度能够指导项目后续招标采购实施，投标人协助业</w:t>
      </w:r>
    </w:p>
    <w:p>
      <w:pPr>
        <w:spacing w:line="340" w:lineRule="exact"/>
        <w:ind w:firstLine="907"/>
        <w:rPr>
          <w:rFonts w:asciiTheme="minorEastAsia" w:hAnsiTheme="minorEastAsia" w:eastAsiaTheme="minorEastAsia" w:cstheme="minorEastAsia"/>
          <w:lang w:val="zh-CN"/>
        </w:rPr>
      </w:pPr>
      <w:r>
        <w:rPr>
          <w:rFonts w:hint="eastAsia" w:asciiTheme="minorEastAsia" w:hAnsiTheme="minorEastAsia" w:eastAsiaTheme="minorEastAsia" w:cstheme="minorEastAsia"/>
        </w:rPr>
        <w:t>主单位完成采购需求相关支撑工作</w:t>
      </w:r>
      <w:r>
        <w:rPr>
          <w:rFonts w:hint="eastAsia" w:asciiTheme="minorEastAsia" w:hAnsiTheme="minorEastAsia" w:eastAsiaTheme="minorEastAsia" w:cstheme="minorEastAsia"/>
          <w:lang w:val="zh-CN"/>
        </w:rPr>
        <w:t>。</w:t>
      </w:r>
    </w:p>
    <w:p>
      <w:pPr>
        <w:spacing w:line="340" w:lineRule="exact"/>
        <w:ind w:firstLine="907"/>
        <w:rPr>
          <w:lang w:val="zh-CN"/>
        </w:rPr>
      </w:pPr>
    </w:p>
    <w:bookmarkEnd w:id="67"/>
    <w:bookmarkEnd w:id="68"/>
    <w:p>
      <w:pPr>
        <w:numPr>
          <w:ilvl w:val="0"/>
          <w:numId w:val="8"/>
        </w:numPr>
        <w:spacing w:line="340" w:lineRule="exact"/>
        <w:rPr>
          <w:rFonts w:ascii="宋体" w:hAnsi="宋体" w:cs="宋体"/>
          <w:b/>
          <w:szCs w:val="21"/>
        </w:rPr>
      </w:pPr>
      <w:r>
        <w:rPr>
          <w:rFonts w:hint="eastAsia" w:ascii="宋体" w:hAnsi="宋体" w:cs="宋体"/>
          <w:b/>
          <w:szCs w:val="21"/>
        </w:rPr>
        <w:t>初步设计具体要求</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项目概述</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项目基本概况论述，包括主要建设目标、建设规模、建设内容和建设工期。</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初步设计和概算编制依据。</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需求分析</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建设方案要求</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总体设计原则：阐述项目建设原则，并贯彻至项目设计方案中；</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总体目标与子项目目标：阐述目标内容及二者之间的关系、界线；</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各子项目建设内容：阐述建设的步骤、次序，子项目的边界清晰；</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系统总体架构与逻辑结构：清晰展现系统总体架构与逻辑结构，子项目与总体的界线和相互关系。</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系统配置及软硬件选型</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应对目前主流的信息化产品或平台进行初步评估对比，在此基础上提出软硬件设</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备的选型原则和标准。</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软硬件配置清单</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给出项目软硬件的设备清单，包括设备的建设数量以及基础配置。</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初步设计投资概算书</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包括概算编制的原则和依据：设备、软件的价格获取方式和确认途径：各种取费依据和标准等，并评价其合理性；</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对投资概算总表，要提供“项目软硬件配置清单”，包括名称、参考型号、主要参数、数量、单价及其折扣率、部署地点等详细信息；</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所有概算表要提供可编辑的电子版本，所有相关数据需建立计箅公式，分表与总表建立链接；</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具体要求参照国家电子政务工程建设项目初步设计方案和投资概箅报告编制要求。</w:t>
      </w:r>
    </w:p>
    <w:p>
      <w:pPr>
        <w:spacing w:line="340" w:lineRule="exact"/>
        <w:ind w:firstLine="907"/>
      </w:pPr>
    </w:p>
    <w:p>
      <w:pPr>
        <w:numPr>
          <w:ilvl w:val="0"/>
          <w:numId w:val="8"/>
        </w:numPr>
        <w:spacing w:line="340" w:lineRule="exact"/>
        <w:rPr>
          <w:rFonts w:ascii="宋体" w:hAnsi="宋体" w:cs="宋体"/>
          <w:b/>
          <w:szCs w:val="21"/>
        </w:rPr>
      </w:pPr>
      <w:r>
        <w:rPr>
          <w:rFonts w:hint="eastAsia" w:ascii="宋体" w:hAnsi="宋体" w:cs="宋体"/>
          <w:b/>
          <w:szCs w:val="21"/>
        </w:rPr>
        <w:t>咨询服务及后续支撑服务要求</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在智慧口岸实施建设过程中，对项目建设实施单位进行设计的功能特点、设计意图、技术选型和质量要求等说明，解答承建单位提出的对设计不清楚或不明确的疑问等服务，并为业主单位提供技术咨询服务工作，提供对智慧口岸为期2年的后续支撑服务。</w:t>
      </w:r>
    </w:p>
    <w:p>
      <w:pPr>
        <w:spacing w:line="340" w:lineRule="exact"/>
        <w:ind w:firstLine="907"/>
      </w:pPr>
    </w:p>
    <w:p>
      <w:pPr>
        <w:numPr>
          <w:ilvl w:val="0"/>
          <w:numId w:val="8"/>
        </w:numPr>
        <w:spacing w:line="340" w:lineRule="exact"/>
        <w:rPr>
          <w:rFonts w:ascii="宋体" w:hAnsi="宋体" w:cs="宋体"/>
          <w:b/>
          <w:szCs w:val="21"/>
        </w:rPr>
      </w:pPr>
      <w:r>
        <w:rPr>
          <w:rFonts w:hint="eastAsia" w:ascii="宋体" w:hAnsi="宋体" w:cs="宋体"/>
          <w:b/>
          <w:szCs w:val="21"/>
        </w:rPr>
        <w:t>成果交付要求</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交付时间：签订合同之日起120</w:t>
      </w:r>
      <w:r>
        <w:rPr>
          <w:rFonts w:hint="eastAsia"/>
        </w:rPr>
        <w:t>个日历日内</w:t>
      </w:r>
      <w:r>
        <w:rPr>
          <w:rFonts w:hint="eastAsia" w:asciiTheme="minorEastAsia" w:hAnsiTheme="minorEastAsia" w:eastAsiaTheme="minorEastAsia" w:cstheme="minorEastAsia"/>
        </w:rPr>
        <w:t>提交规划研究成果。</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至少提交以下成果：</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深圳市智慧口岸总体规划设计现状调研及需求分析报告；</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深圳市智慧口岸总体规划框架和各子平台初步框架设计；</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深圳市智慧口岸总体规划设计方案报告；</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深圳市智慧口岸一期项目初步设计（设计说明、图纸、概算表）；</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深圳市智慧口岸一期项目采购需求书。</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成果形式：电子、纸质文件。包含以上成果的电子文件光盘3套（包含汇报演示文档），纸质文件6套、彩印。汇报演示文档要求：符合较专业美学设计要求，整体达到美观感受需求。</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成果交付时间计划：（签订合同之日为T，以自然日计算）</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T+60日前，完成一期项目初步设计，提交设计说明、图纸、概算表，具备发改评审条件；</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T+80日前，完成总体规划框架设计，提交成果《深圳市智慧口岸总体规划框架和各子平台初步框架》，组织并通过专家评审；</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T+100日前，完成上述规划设计的初步成果，组织口岸行业各单位及专家，提出完善意见；</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T+120日前，根据各单位和专家意见，修改完善所有研究成果，组织专家验收，通过评审。</w:t>
      </w:r>
    </w:p>
    <w:p>
      <w:pPr>
        <w:spacing w:line="340" w:lineRule="exact"/>
        <w:rPr>
          <w:rFonts w:ascii="宋体" w:hAnsi="宋体" w:cs="宋体"/>
          <w:b/>
          <w:szCs w:val="21"/>
        </w:rPr>
      </w:pPr>
    </w:p>
    <w:p>
      <w:pPr>
        <w:numPr>
          <w:ilvl w:val="0"/>
          <w:numId w:val="8"/>
        </w:numPr>
        <w:spacing w:line="340" w:lineRule="exact"/>
        <w:rPr>
          <w:rFonts w:ascii="宋体" w:hAnsi="宋体" w:cs="宋体"/>
          <w:b/>
          <w:szCs w:val="21"/>
        </w:rPr>
      </w:pPr>
      <w:r>
        <w:rPr>
          <w:rFonts w:hint="eastAsia" w:ascii="宋体" w:hAnsi="宋体" w:cs="宋体"/>
          <w:b/>
          <w:szCs w:val="21"/>
        </w:rPr>
        <w:t>项目预算及报价说明</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项目预算人民币170万元整（大写：壹佰柒拾万元整）。</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项目最高限价人民币170万元整（大写：壹佰柒拾万元整）。</w:t>
      </w:r>
    </w:p>
    <w:p>
      <w:pPr>
        <w:spacing w:line="340" w:lineRule="exact"/>
        <w:ind w:firstLine="907"/>
      </w:pPr>
    </w:p>
    <w:p>
      <w:pPr>
        <w:numPr>
          <w:ilvl w:val="0"/>
          <w:numId w:val="8"/>
        </w:numPr>
        <w:spacing w:line="340" w:lineRule="exact"/>
        <w:rPr>
          <w:rFonts w:ascii="宋体" w:hAnsi="宋体" w:cs="宋体"/>
          <w:b/>
          <w:szCs w:val="21"/>
        </w:rPr>
      </w:pPr>
      <w:r>
        <w:rPr>
          <w:rFonts w:hint="eastAsia" w:ascii="宋体" w:hAnsi="宋体" w:cs="宋体"/>
          <w:b/>
          <w:szCs w:val="21"/>
        </w:rPr>
        <w:t>项目人员及驻场要求</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项目规划设计服务人员不少于10人（项目负责人除外），其中，具有副高（或以上）职称人员至少5名；</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设计单位需派驻至少4名项目规划设计人员到采购人单位现场办公，及时响应协调解决采购人需求。</w:t>
      </w:r>
    </w:p>
    <w:p>
      <w:pPr>
        <w:spacing w:line="340" w:lineRule="exact"/>
        <w:ind w:firstLine="907"/>
      </w:pPr>
    </w:p>
    <w:p>
      <w:pPr>
        <w:numPr>
          <w:ilvl w:val="0"/>
          <w:numId w:val="8"/>
        </w:numPr>
        <w:spacing w:line="340" w:lineRule="exact"/>
        <w:rPr>
          <w:rFonts w:ascii="宋体" w:hAnsi="宋体" w:cs="宋体"/>
          <w:b/>
          <w:szCs w:val="21"/>
        </w:rPr>
      </w:pPr>
      <w:r>
        <w:rPr>
          <w:rFonts w:hint="eastAsia" w:ascii="宋体" w:hAnsi="宋体" w:cs="宋体"/>
          <w:b/>
          <w:szCs w:val="21"/>
        </w:rPr>
        <w:t>投标时需提交的技术文件</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投标人需根据采购需求，编制并提交深圳市智慧口岸规划设计初步构想文件，文</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件包含并不限于以下内容：</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对智慧口岸现状整体了解掌握情况，包括但不限于：</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对国家、广东省、深圳市智慧城市及口岸信息化建设规划相关文件精神理解；</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对国内外智慧口岸及相关前沿技术应用发展了解掌握情况；</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对深圳市智慧口岸建设需求及现状了解掌握情况。</w:t>
      </w:r>
    </w:p>
    <w:p>
      <w:pPr>
        <w:numPr>
          <w:ilvl w:val="1"/>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深圳市智慧口岸规划设计的初步构想，包括但不限于：</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结合国内外智慧口岸建设情况、相关前沿技术应用情况、深圳市智慧口岸建设需求及现状，提出新时代深圳智慧口岸建设总体架构的初步设计思路，含近期、中期、远期三个时段。目标和预期效果科学、合理。智慧口岸规划设计思路和方法科学先进，展望深圳智慧口岸发展前景、当今前沿技术应用场景和智慧口岸建设成效评估等。</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对采购需求中提出的一期项目进行初步设计构想，提出一期项目的设计初步方案，思路严谨、理念先进、技术创新、工程概算合理、项目组织科学可行。</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根据采购需求，制定深圳智慧口岸规划设计需求调研计划方案，调研对象要具有典型性、代表性，组织有序、时间计划安排合理、可行，为后期规划设计提供参考。</w:t>
      </w:r>
    </w:p>
    <w:p>
      <w:pPr>
        <w:numPr>
          <w:ilvl w:val="2"/>
          <w:numId w:val="8"/>
        </w:numPr>
        <w:spacing w:line="340" w:lineRule="exact"/>
        <w:rPr>
          <w:rFonts w:asciiTheme="minorEastAsia" w:hAnsiTheme="minorEastAsia" w:eastAsiaTheme="minorEastAsia" w:cstheme="minorEastAsia"/>
        </w:rPr>
      </w:pPr>
      <w:r>
        <w:rPr>
          <w:rFonts w:hint="eastAsia" w:asciiTheme="minorEastAsia" w:hAnsiTheme="minorEastAsia" w:eastAsiaTheme="minorEastAsia" w:cstheme="minorEastAsia"/>
        </w:rPr>
        <w:t>为采购人单位提供技术咨询服务工作。提供对深圳智慧口岸项目咨询服务及后续支撑服务。服务方案及承诺具体，符合采购人实际需求。</w:t>
      </w:r>
    </w:p>
    <w:p>
      <w:pPr>
        <w:pStyle w:val="2"/>
      </w:pPr>
    </w:p>
    <w:p>
      <w:pPr>
        <w:pStyle w:val="5"/>
        <w:spacing w:beforeLines="50" w:afterLines="50"/>
      </w:pPr>
      <w:r>
        <w:rPr>
          <w:rFonts w:hint="eastAsia"/>
          <w:b/>
          <w:bCs/>
          <w:sz w:val="28"/>
          <w:szCs w:val="28"/>
        </w:rPr>
        <w:t>五、项目商务要求</w:t>
      </w:r>
    </w:p>
    <w:p>
      <w:pPr>
        <w:numPr>
          <w:ilvl w:val="0"/>
          <w:numId w:val="9"/>
        </w:numPr>
        <w:spacing w:line="340" w:lineRule="exact"/>
        <w:rPr>
          <w:rFonts w:ascii="宋体" w:hAnsi="宋体" w:cs="宋体"/>
          <w:b/>
          <w:szCs w:val="21"/>
        </w:rPr>
      </w:pPr>
      <w:r>
        <w:rPr>
          <w:rFonts w:hint="eastAsia" w:ascii="宋体" w:hAnsi="宋体" w:cs="宋体"/>
          <w:b/>
          <w:szCs w:val="21"/>
        </w:rPr>
        <w:t>招标控制价</w:t>
      </w:r>
    </w:p>
    <w:p>
      <w:pPr>
        <w:numPr>
          <w:ilvl w:val="1"/>
          <w:numId w:val="9"/>
        </w:numPr>
        <w:spacing w:line="340" w:lineRule="exact"/>
        <w:rPr>
          <w:rFonts w:ascii="宋体" w:hAnsi="宋体" w:cs="宋体"/>
          <w:bCs/>
          <w:szCs w:val="21"/>
        </w:rPr>
      </w:pPr>
      <w:r>
        <w:rPr>
          <w:rFonts w:hint="eastAsia" w:ascii="宋体" w:hAnsi="宋体" w:cs="宋体"/>
          <w:bCs/>
          <w:szCs w:val="21"/>
        </w:rPr>
        <w:t>本项目服务费采用包干制，应包括服务成本、法定税费、企业的利润和设计过程中各阶段专家评审环节所产生的一切费用。由企业根据招标文件所提供的资料自行测算投标报价；一经中标，投标报价总价作为中标人与采购单位签定的合同金额，合同期限内不做调整。</w:t>
      </w:r>
    </w:p>
    <w:p>
      <w:pPr>
        <w:numPr>
          <w:ilvl w:val="1"/>
          <w:numId w:val="9"/>
        </w:numPr>
        <w:spacing w:line="340" w:lineRule="exact"/>
        <w:rPr>
          <w:rFonts w:ascii="宋体" w:hAnsi="宋体" w:cs="宋体"/>
          <w:bCs/>
          <w:szCs w:val="21"/>
        </w:rPr>
      </w:pPr>
      <w:r>
        <w:rPr>
          <w:rFonts w:hint="eastAsia" w:ascii="宋体" w:hAnsi="宋体" w:cs="宋体"/>
          <w:bCs/>
          <w:szCs w:val="21"/>
        </w:rPr>
        <w:t>本项目的最高限价为人民币170万元。</w:t>
      </w:r>
    </w:p>
    <w:p>
      <w:pPr>
        <w:numPr>
          <w:ilvl w:val="1"/>
          <w:numId w:val="9"/>
        </w:numPr>
        <w:spacing w:line="340" w:lineRule="exact"/>
        <w:rPr>
          <w:rFonts w:ascii="宋体" w:hAnsi="宋体" w:cs="宋体"/>
          <w:bCs/>
          <w:szCs w:val="21"/>
        </w:rPr>
      </w:pPr>
      <w:r>
        <w:rPr>
          <w:rFonts w:hint="eastAsia" w:ascii="宋体" w:hAnsi="宋体" w:cs="宋体"/>
          <w:bCs/>
          <w:szCs w:val="21"/>
        </w:rPr>
        <w:t>投标人的投标报价高于财政控制金额为无效投标。</w:t>
      </w:r>
    </w:p>
    <w:p>
      <w:pPr>
        <w:numPr>
          <w:ilvl w:val="1"/>
          <w:numId w:val="9"/>
        </w:numPr>
        <w:spacing w:line="340" w:lineRule="exact"/>
        <w:rPr>
          <w:rFonts w:ascii="宋体" w:hAnsi="宋体" w:cs="宋体"/>
          <w:bCs/>
          <w:szCs w:val="21"/>
        </w:rPr>
      </w:pPr>
      <w:r>
        <w:rPr>
          <w:rFonts w:hint="eastAsia" w:ascii="宋体" w:hAnsi="宋体" w:cs="宋体"/>
          <w:bCs/>
          <w:szCs w:val="21"/>
        </w:rPr>
        <w:t>投标人的投标报价，应是本项目招标范围和招标文件及合同条款上所列的各项内容中所述的全部，不得以任何理由予以重复，并以投标人在中提出的综合单价或总价为依据。</w:t>
      </w:r>
    </w:p>
    <w:p>
      <w:pPr>
        <w:numPr>
          <w:ilvl w:val="1"/>
          <w:numId w:val="9"/>
        </w:numPr>
        <w:spacing w:line="340" w:lineRule="exact"/>
        <w:rPr>
          <w:rFonts w:ascii="宋体" w:hAnsi="宋体" w:cs="宋体"/>
          <w:bCs/>
          <w:szCs w:val="21"/>
        </w:rPr>
      </w:pPr>
      <w:r>
        <w:rPr>
          <w:rFonts w:hint="eastAsia" w:ascii="宋体" w:hAnsi="宋体" w:cs="宋体"/>
          <w:bCs/>
          <w:szCs w:val="21"/>
        </w:rPr>
        <w:t>除非采购代理机构或采购人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numPr>
          <w:ilvl w:val="1"/>
          <w:numId w:val="9"/>
        </w:numPr>
        <w:spacing w:line="340" w:lineRule="exact"/>
        <w:rPr>
          <w:rFonts w:ascii="宋体" w:hAnsi="宋体" w:cs="宋体"/>
          <w:bCs/>
          <w:szCs w:val="21"/>
        </w:rPr>
      </w:pPr>
      <w:r>
        <w:rPr>
          <w:rFonts w:hint="eastAsia" w:ascii="宋体" w:hAnsi="宋体" w:cs="宋体"/>
          <w:bCs/>
          <w:szCs w:val="21"/>
        </w:rPr>
        <w:t>投标人自行选择到项目地点踏勘以充分了解项目的位置、情况、道路及任何其它足以影响投标报价的情况，任何因忽视或误解项目情况而导致的索赔或服务期限延长申请将不获批准。</w:t>
      </w:r>
    </w:p>
    <w:p>
      <w:pPr>
        <w:numPr>
          <w:ilvl w:val="1"/>
          <w:numId w:val="9"/>
        </w:numPr>
        <w:spacing w:line="340" w:lineRule="exact"/>
        <w:rPr>
          <w:rFonts w:ascii="宋体" w:hAnsi="宋体" w:cs="宋体"/>
          <w:bCs/>
          <w:szCs w:val="21"/>
        </w:rPr>
      </w:pPr>
      <w:r>
        <w:rPr>
          <w:rFonts w:hint="eastAsia" w:ascii="宋体" w:hAnsi="宋体" w:cs="宋体"/>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40" w:lineRule="exact"/>
        <w:ind w:firstLine="907"/>
      </w:pPr>
    </w:p>
    <w:p>
      <w:pPr>
        <w:numPr>
          <w:ilvl w:val="0"/>
          <w:numId w:val="9"/>
        </w:numPr>
        <w:spacing w:line="340" w:lineRule="exact"/>
        <w:rPr>
          <w:rFonts w:ascii="宋体" w:hAnsi="宋体" w:cs="宋体"/>
          <w:b/>
          <w:szCs w:val="21"/>
        </w:rPr>
      </w:pPr>
      <w:r>
        <w:rPr>
          <w:rFonts w:hint="eastAsia" w:ascii="宋体" w:hAnsi="宋体" w:cs="宋体"/>
          <w:b/>
          <w:szCs w:val="21"/>
        </w:rPr>
        <w:t>付款方式</w:t>
      </w:r>
    </w:p>
    <w:p>
      <w:pPr>
        <w:numPr>
          <w:ilvl w:val="1"/>
          <w:numId w:val="9"/>
        </w:numPr>
        <w:spacing w:line="340" w:lineRule="exact"/>
        <w:rPr>
          <w:rFonts w:ascii="宋体" w:hAnsi="宋体" w:cs="宋体"/>
          <w:bCs/>
          <w:szCs w:val="21"/>
        </w:rPr>
      </w:pPr>
      <w:r>
        <w:rPr>
          <w:rFonts w:hint="eastAsia" w:ascii="宋体" w:hAnsi="宋体" w:cs="宋体"/>
          <w:bCs/>
          <w:szCs w:val="21"/>
        </w:rPr>
        <w:t>合同签订后15个工作日内，向中标人支付协议总金额50%的款项。</w:t>
      </w:r>
    </w:p>
    <w:p>
      <w:pPr>
        <w:numPr>
          <w:ilvl w:val="1"/>
          <w:numId w:val="9"/>
        </w:numPr>
        <w:spacing w:line="340" w:lineRule="exact"/>
        <w:rPr>
          <w:rFonts w:ascii="宋体" w:hAnsi="宋体" w:cs="宋体"/>
          <w:bCs/>
          <w:szCs w:val="21"/>
        </w:rPr>
      </w:pPr>
      <w:r>
        <w:rPr>
          <w:rFonts w:hint="eastAsia" w:ascii="宋体" w:hAnsi="宋体" w:cs="宋体"/>
          <w:bCs/>
          <w:szCs w:val="21"/>
        </w:rPr>
        <w:t>中标人提交设计成果初稿，采购人组织内部评审后15个工作日内采购人向中标人支付合同总额的40％。</w:t>
      </w:r>
    </w:p>
    <w:p>
      <w:pPr>
        <w:numPr>
          <w:ilvl w:val="1"/>
          <w:numId w:val="9"/>
        </w:numPr>
        <w:spacing w:line="340" w:lineRule="exact"/>
        <w:rPr>
          <w:rFonts w:ascii="宋体" w:hAnsi="宋体" w:cs="宋体"/>
          <w:bCs/>
          <w:szCs w:val="21"/>
        </w:rPr>
      </w:pPr>
      <w:r>
        <w:rPr>
          <w:rFonts w:hint="eastAsia" w:ascii="宋体" w:hAnsi="宋体" w:cs="宋体"/>
          <w:bCs/>
          <w:szCs w:val="21"/>
        </w:rPr>
        <w:t>中标人完成所有设计委托工作，项目设计成果验收通过后10个工作日内采购人向中标人支付合同总额的10％。</w:t>
      </w:r>
    </w:p>
    <w:p>
      <w:pPr>
        <w:spacing w:line="340" w:lineRule="exact"/>
        <w:ind w:firstLine="907"/>
      </w:pPr>
    </w:p>
    <w:p>
      <w:pPr>
        <w:numPr>
          <w:ilvl w:val="0"/>
          <w:numId w:val="9"/>
        </w:numPr>
        <w:spacing w:line="340" w:lineRule="exact"/>
        <w:rPr>
          <w:rFonts w:ascii="宋体" w:hAnsi="宋体" w:cs="宋体"/>
          <w:b/>
          <w:szCs w:val="21"/>
        </w:rPr>
      </w:pPr>
      <w:r>
        <w:rPr>
          <w:rFonts w:hint="eastAsia" w:ascii="宋体" w:hAnsi="宋体" w:cs="宋体"/>
          <w:b/>
          <w:szCs w:val="21"/>
        </w:rPr>
        <w:t>保密要求</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中标人在项目实施过程中，对采购人所提供的所有相关资料、数据，未经采购人</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书面同意不得向任何第三人泄露，且保密责任不因合同的终止或解除而失效。如</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采购人提出要求，中标人须无条件与采购人签订保密协议。</w:t>
      </w:r>
    </w:p>
    <w:p>
      <w:pPr>
        <w:spacing w:line="340" w:lineRule="exact"/>
        <w:ind w:firstLine="907"/>
      </w:pPr>
    </w:p>
    <w:p>
      <w:pPr>
        <w:numPr>
          <w:ilvl w:val="0"/>
          <w:numId w:val="9"/>
        </w:numPr>
        <w:spacing w:line="340" w:lineRule="exact"/>
        <w:rPr>
          <w:rFonts w:ascii="宋体" w:hAnsi="宋体" w:cs="宋体"/>
          <w:b/>
          <w:szCs w:val="21"/>
        </w:rPr>
      </w:pPr>
      <w:r>
        <w:rPr>
          <w:rFonts w:hint="eastAsia" w:ascii="宋体" w:hAnsi="宋体" w:cs="宋体"/>
          <w:b/>
          <w:szCs w:val="21"/>
        </w:rPr>
        <w:t>罚则</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中标人逾期未按本项目计划安排完成深化设计成果编制的，每逾期一天扣减合同</w:t>
      </w:r>
    </w:p>
    <w:p>
      <w:pPr>
        <w:spacing w:line="340" w:lineRule="exact"/>
        <w:ind w:firstLine="907"/>
        <w:rPr>
          <w:rFonts w:asciiTheme="minorEastAsia" w:hAnsiTheme="minorEastAsia" w:eastAsiaTheme="minorEastAsia" w:cstheme="minorEastAsia"/>
        </w:rPr>
      </w:pPr>
      <w:r>
        <w:rPr>
          <w:rFonts w:hint="eastAsia" w:asciiTheme="minorEastAsia" w:hAnsiTheme="minorEastAsia" w:eastAsiaTheme="minorEastAsia" w:cstheme="minorEastAsia"/>
        </w:rPr>
        <w:t>金额的5‰，逾期超过5个工作日的，采购人有权与其终止合同。</w:t>
      </w:r>
    </w:p>
    <w:p>
      <w:pPr>
        <w:spacing w:line="340" w:lineRule="exact"/>
        <w:ind w:firstLine="907"/>
        <w:rPr>
          <w:rFonts w:asciiTheme="minorEastAsia" w:hAnsiTheme="minorEastAsia" w:eastAsiaTheme="minorEastAsia" w:cstheme="minorEastAsia"/>
        </w:rPr>
      </w:pPr>
    </w:p>
    <w:p>
      <w:pPr>
        <w:numPr>
          <w:ilvl w:val="0"/>
          <w:numId w:val="9"/>
        </w:numPr>
        <w:spacing w:line="340" w:lineRule="exact"/>
        <w:rPr>
          <w:rFonts w:ascii="宋体" w:hAnsi="宋体" w:cs="宋体"/>
          <w:b/>
          <w:szCs w:val="21"/>
        </w:rPr>
      </w:pPr>
      <w:r>
        <w:rPr>
          <w:rFonts w:hint="eastAsia" w:ascii="宋体" w:hAnsi="宋体" w:cs="宋体"/>
          <w:b/>
          <w:szCs w:val="21"/>
        </w:rPr>
        <w:t>成果归属</w:t>
      </w:r>
    </w:p>
    <w:p>
      <w:pPr>
        <w:numPr>
          <w:ilvl w:val="1"/>
          <w:numId w:val="9"/>
        </w:numPr>
        <w:spacing w:line="340" w:lineRule="exact"/>
        <w:rPr>
          <w:rFonts w:ascii="宋体" w:hAnsi="宋体" w:cs="宋体"/>
          <w:bCs/>
          <w:szCs w:val="21"/>
        </w:rPr>
      </w:pPr>
      <w:r>
        <w:rPr>
          <w:rFonts w:hint="eastAsia" w:ascii="宋体" w:hAnsi="宋体" w:cs="宋体"/>
          <w:bCs/>
          <w:szCs w:val="21"/>
        </w:rPr>
        <w:t>本项目的所有成果所有权归采购人拥有，取得的知识产权归采购人拥有。</w:t>
      </w:r>
    </w:p>
    <w:p>
      <w:pPr>
        <w:numPr>
          <w:ilvl w:val="1"/>
          <w:numId w:val="9"/>
        </w:numPr>
        <w:spacing w:line="340" w:lineRule="exact"/>
        <w:rPr>
          <w:rFonts w:ascii="宋体" w:hAnsi="宋体" w:cs="宋体"/>
          <w:bCs/>
          <w:szCs w:val="21"/>
        </w:rPr>
      </w:pPr>
      <w:r>
        <w:rPr>
          <w:rFonts w:hint="eastAsia" w:ascii="宋体" w:hAnsi="宋体" w:cs="宋体"/>
          <w:bCs/>
          <w:szCs w:val="21"/>
        </w:rPr>
        <w:t>采购人引用中标人的工作成果所完成的新的技术成果，属于采购人所有，采购人可依法享有就该项技术成果取得的精神权利、经济权利和其他权利。</w:t>
      </w:r>
    </w:p>
    <w:p>
      <w:pPr>
        <w:numPr>
          <w:ilvl w:val="1"/>
          <w:numId w:val="9"/>
        </w:numPr>
        <w:spacing w:line="340" w:lineRule="exact"/>
        <w:rPr>
          <w:rFonts w:ascii="宋体" w:hAnsi="宋体" w:cs="宋体"/>
          <w:bCs/>
          <w:szCs w:val="21"/>
        </w:rPr>
      </w:pPr>
      <w:r>
        <w:rPr>
          <w:rFonts w:hint="eastAsia" w:ascii="宋体" w:hAnsi="宋体" w:cs="宋体"/>
          <w:bCs/>
          <w:szCs w:val="21"/>
        </w:rPr>
        <w:t>无论发生何种情形（包括但不限于合同提前终止或解除），采购人均有权利用中标人的阶段性工作成果，并且采购人引用中标人的阶段性工作成果所完成的新的技术成果，属于采购人所有，采购人可依法享有就该项技术成果取得的精神权利、经济权利和其他权利。</w:t>
      </w:r>
    </w:p>
    <w:p>
      <w:pPr>
        <w:ind w:firstLine="315" w:firstLineChars="150"/>
        <w:rPr>
          <w:rFonts w:asciiTheme="minorEastAsia" w:hAnsiTheme="minorEastAsia" w:eastAsiaTheme="minorEastAsia"/>
          <w:szCs w:val="21"/>
        </w:rPr>
      </w:pPr>
    </w:p>
    <w:p>
      <w:pPr>
        <w:pStyle w:val="5"/>
        <w:spacing w:beforeLines="50" w:afterLines="50"/>
        <w:rPr>
          <w:b/>
          <w:bCs/>
          <w:sz w:val="28"/>
          <w:szCs w:val="28"/>
        </w:rPr>
      </w:pPr>
      <w:r>
        <w:rPr>
          <w:rFonts w:hint="eastAsia"/>
          <w:b/>
          <w:bCs/>
          <w:sz w:val="28"/>
          <w:szCs w:val="28"/>
        </w:rPr>
        <w:t>六、注意事项</w:t>
      </w:r>
    </w:p>
    <w:p>
      <w:pPr>
        <w:pStyle w:val="2"/>
        <w:ind w:firstLine="392" w:firstLineChars="187"/>
        <w:rPr>
          <w:rFonts w:ascii="宋体" w:hAnsi="宋体"/>
          <w:szCs w:val="21"/>
        </w:rPr>
      </w:pPr>
      <w:r>
        <w:rPr>
          <w:rFonts w:hint="eastAsia" w:ascii="宋体" w:hAnsi="宋体"/>
          <w:szCs w:val="21"/>
        </w:rPr>
        <w:t>1、</w:t>
      </w:r>
      <w:r>
        <w:rPr>
          <w:rFonts w:ascii="宋体" w:hAnsi="宋体"/>
          <w:szCs w:val="21"/>
        </w:rPr>
        <w:t>中标人不得将项目非法分包或转包给任何单位和个人。否则，采购单位有权即刻终止合同，并要求中标人赔偿相应损失。</w:t>
      </w:r>
    </w:p>
    <w:p>
      <w:pPr>
        <w:pStyle w:val="2"/>
        <w:ind w:firstLine="392" w:firstLineChars="187"/>
        <w:rPr>
          <w:rFonts w:ascii="宋体" w:hAnsi="宋体"/>
          <w:szCs w:val="21"/>
        </w:rPr>
      </w:pPr>
      <w:r>
        <w:rPr>
          <w:rFonts w:hint="eastAsia" w:ascii="宋体" w:hAnsi="宋体"/>
          <w:szCs w:val="21"/>
        </w:rPr>
        <w:t>2、投标人若认为招标文件的技术要求或其他要求有倾向性或不公正性，可在招标答疑阶段提出，以维护招标行为的公平、公正。</w:t>
      </w:r>
    </w:p>
    <w:p>
      <w:pPr>
        <w:pStyle w:val="2"/>
        <w:ind w:firstLine="392" w:firstLineChars="187"/>
        <w:rPr>
          <w:rFonts w:ascii="宋体" w:hAnsi="宋体"/>
          <w:szCs w:val="21"/>
        </w:rPr>
      </w:pPr>
      <w:r>
        <w:rPr>
          <w:rFonts w:hint="eastAsia" w:ascii="宋体" w:hAnsi="宋体"/>
          <w:szCs w:val="21"/>
        </w:rPr>
        <w:t>3、投标人使用的标准必须是国际公认或国家、或地方政府颁布的同等或更高的标准，如投标人使用的标准低于上述标准，评标委员会将有权不予接受，投标人必须列表将明显的差异详细说明。</w:t>
      </w:r>
    </w:p>
    <w:p>
      <w:pPr>
        <w:ind w:firstLine="411" w:firstLineChars="196"/>
        <w:rPr>
          <w:rFonts w:ascii="宋体" w:hAnsi="宋体"/>
          <w:szCs w:val="21"/>
        </w:rPr>
      </w:pPr>
      <w:r>
        <w:rPr>
          <w:rFonts w:hint="eastAsia" w:ascii="宋体" w:hAnsi="宋体"/>
          <w:szCs w:val="21"/>
        </w:rPr>
        <w:t>4、投标人所提交的投标文件对技术参数和各项要求的响应应是列出具体内容。如果投标人只注明“符合”或“满足”，将被视为“不符合”，并可能严重影响评标结果。</w:t>
      </w:r>
    </w:p>
    <w:p>
      <w:pPr>
        <w:pStyle w:val="2"/>
      </w:pPr>
    </w:p>
    <w:p>
      <w:pPr>
        <w:pStyle w:val="5"/>
        <w:spacing w:beforeLines="50" w:afterLines="50"/>
        <w:rPr>
          <w:b/>
          <w:bCs/>
          <w:sz w:val="28"/>
          <w:szCs w:val="28"/>
        </w:rPr>
      </w:pPr>
      <w:r>
        <w:rPr>
          <w:rFonts w:hint="eastAsia"/>
          <w:b/>
          <w:bCs/>
          <w:sz w:val="28"/>
          <w:szCs w:val="28"/>
        </w:rPr>
        <w:t>七、述标（演示）要求</w:t>
      </w:r>
    </w:p>
    <w:p>
      <w:pPr>
        <w:pStyle w:val="2"/>
        <w:spacing w:beforeLines="25" w:afterLines="25"/>
        <w:rPr>
          <w:rFonts w:ascii="宋体" w:hAnsi="宋体"/>
          <w:szCs w:val="21"/>
        </w:rPr>
      </w:pPr>
      <w:r>
        <w:rPr>
          <w:rFonts w:hint="eastAsia" w:ascii="宋体" w:hAnsi="宋体"/>
          <w:szCs w:val="21"/>
        </w:rPr>
        <w:t>（一）总体要求：</w:t>
      </w:r>
    </w:p>
    <w:p>
      <w:pPr>
        <w:pStyle w:val="2"/>
        <w:spacing w:beforeLines="25" w:afterLines="25"/>
        <w:rPr>
          <w:rFonts w:ascii="宋体" w:hAnsi="宋体"/>
          <w:szCs w:val="21"/>
        </w:rPr>
      </w:pPr>
      <w:r>
        <w:rPr>
          <w:rFonts w:hint="eastAsia" w:ascii="宋体" w:hAnsi="宋体"/>
          <w:szCs w:val="21"/>
        </w:rPr>
        <w:t>演示时间：2020年11月4日09:30时；</w:t>
      </w:r>
    </w:p>
    <w:p>
      <w:pPr>
        <w:pStyle w:val="2"/>
        <w:spacing w:beforeLines="25" w:afterLines="25"/>
        <w:rPr>
          <w:rFonts w:ascii="宋体" w:hAnsi="宋体"/>
          <w:szCs w:val="21"/>
        </w:rPr>
      </w:pPr>
      <w:r>
        <w:rPr>
          <w:rFonts w:hint="eastAsia" w:ascii="宋体" w:hAnsi="宋体"/>
          <w:szCs w:val="21"/>
        </w:rPr>
        <w:t>演示地点：深圳市福田区泰然九路金润大厦七层E单元三方诚信招标有限公司开标室。</w:t>
      </w:r>
    </w:p>
    <w:p>
      <w:pPr>
        <w:pStyle w:val="2"/>
        <w:spacing w:beforeLines="25" w:afterLines="25"/>
        <w:rPr>
          <w:rFonts w:ascii="宋体" w:hAnsi="宋体"/>
          <w:szCs w:val="21"/>
        </w:rPr>
      </w:pPr>
      <w:r>
        <w:rPr>
          <w:rFonts w:hint="eastAsia" w:ascii="宋体" w:hAnsi="宋体"/>
          <w:szCs w:val="21"/>
        </w:rPr>
        <w:t>演示地点提供电源、带VGA接口的投影仪及宽带上网环境（无WIFI环境），由投标人代表自带手提电脑、无线路由器、便携式服务器、U盘及其它能完成演示操作的设备（具体以投标人实际需要为准，但严禁携带手机等通讯工具）等进行演示。由于演示场地有限，建议勿携带过大设备进行演示。</w:t>
      </w:r>
    </w:p>
    <w:p>
      <w:pPr>
        <w:pStyle w:val="2"/>
        <w:spacing w:beforeLines="25" w:afterLines="25"/>
        <w:rPr>
          <w:rFonts w:ascii="宋体" w:hAnsi="宋体"/>
          <w:szCs w:val="21"/>
        </w:rPr>
      </w:pPr>
      <w:r>
        <w:rPr>
          <w:rFonts w:hint="eastAsia" w:ascii="宋体" w:hAnsi="宋体"/>
          <w:szCs w:val="21"/>
        </w:rPr>
        <w:t>每个投标人的现场演示时间不超过15分钟（演示期间评委将进行提问，并有权酌情延长时间），现场演示人员不得超过3人</w:t>
      </w:r>
      <w:r>
        <w:rPr>
          <w:rFonts w:hint="eastAsia"/>
        </w:rPr>
        <w:t>（含授权委托代理人在内）</w:t>
      </w:r>
      <w:r>
        <w:rPr>
          <w:rFonts w:hint="eastAsia" w:ascii="宋体" w:hAnsi="宋体"/>
          <w:szCs w:val="21"/>
        </w:rPr>
        <w:t>。</w:t>
      </w:r>
    </w:p>
    <w:p>
      <w:pPr>
        <w:pStyle w:val="2"/>
        <w:spacing w:beforeLines="25" w:afterLines="25"/>
        <w:rPr>
          <w:rFonts w:ascii="宋体" w:hAnsi="宋体"/>
          <w:szCs w:val="21"/>
        </w:rPr>
      </w:pPr>
      <w:r>
        <w:rPr>
          <w:rFonts w:hint="eastAsia" w:ascii="宋体" w:hAnsi="宋体"/>
          <w:szCs w:val="21"/>
        </w:rPr>
        <w:t>演示讲解人：由有效投标人安排现场项目经理进行方案讲解及答辩。</w:t>
      </w:r>
    </w:p>
    <w:p>
      <w:pPr>
        <w:pStyle w:val="2"/>
        <w:spacing w:beforeLines="25" w:afterLines="25"/>
        <w:rPr>
          <w:rFonts w:ascii="宋体" w:hAnsi="宋体"/>
          <w:szCs w:val="21"/>
        </w:rPr>
      </w:pPr>
      <w:r>
        <w:rPr>
          <w:rFonts w:hint="eastAsia" w:ascii="宋体" w:hAnsi="宋体"/>
          <w:szCs w:val="21"/>
        </w:rPr>
        <w:t>（二）具体程序：</w:t>
      </w:r>
    </w:p>
    <w:p>
      <w:pPr>
        <w:pStyle w:val="2"/>
        <w:spacing w:beforeLines="25" w:afterLines="25"/>
        <w:rPr>
          <w:rFonts w:ascii="宋体" w:hAnsi="宋体"/>
          <w:szCs w:val="21"/>
        </w:rPr>
      </w:pPr>
      <w:r>
        <w:rPr>
          <w:rFonts w:hint="eastAsia" w:ascii="宋体" w:hAnsi="宋体"/>
          <w:szCs w:val="21"/>
        </w:rPr>
        <w:t>1.现场演示人员须在2020年11月4日09:30时前完成演示签到，携带</w:t>
      </w:r>
      <w:r>
        <w:rPr>
          <w:rFonts w:hint="eastAsia"/>
          <w:bCs/>
          <w:szCs w:val="21"/>
        </w:rPr>
        <w:t>法定代表人证明书（盖公章）、</w:t>
      </w:r>
      <w:r>
        <w:rPr>
          <w:rFonts w:hint="eastAsia" w:ascii="宋体" w:hAnsi="宋体"/>
          <w:szCs w:val="21"/>
        </w:rPr>
        <w:t>授权委托书（盖公章）、现场演示人员的身份证原件和复印件，到达深圳市福田区泰然九路金润大厦七层E单元三方诚信招标有限公司开标室，按工作人员指引进行签到。</w:t>
      </w:r>
    </w:p>
    <w:p>
      <w:pPr>
        <w:pStyle w:val="2"/>
        <w:spacing w:beforeLines="25" w:afterLines="25"/>
        <w:rPr>
          <w:rFonts w:ascii="宋体" w:hAnsi="宋体"/>
          <w:szCs w:val="21"/>
        </w:rPr>
      </w:pPr>
      <w:r>
        <w:rPr>
          <w:rFonts w:hint="eastAsia" w:ascii="宋体" w:hAnsi="宋体"/>
          <w:szCs w:val="21"/>
        </w:rPr>
        <w:t>特别注意事项：（1）资料提供不齐全的，不予签到；（2）招标公告规定的截止时间后，不再受理签到；（3）未签到的人员，不能参与现场演示。</w:t>
      </w:r>
    </w:p>
    <w:p>
      <w:pPr>
        <w:pStyle w:val="2"/>
        <w:spacing w:beforeLines="25" w:afterLines="25"/>
        <w:rPr>
          <w:rFonts w:ascii="宋体" w:hAnsi="宋体"/>
          <w:szCs w:val="21"/>
        </w:rPr>
      </w:pPr>
      <w:r>
        <w:rPr>
          <w:rFonts w:hint="eastAsia" w:ascii="宋体" w:hAnsi="宋体"/>
          <w:szCs w:val="21"/>
        </w:rPr>
        <w:t>2.招标公告规定的现场演示签到截止时间后正式进行现场演示。现场演示正式开始前将进行身份核对；核对内容为现场演示人员提供的“授权委托书（盖公章）、现场演示人员的身份证原件和复印件”。资料不齐全的人员，不得参与现场演示。</w:t>
      </w:r>
    </w:p>
    <w:p>
      <w:pPr>
        <w:pStyle w:val="2"/>
        <w:spacing w:beforeLines="25" w:afterLines="25"/>
        <w:rPr>
          <w:rFonts w:ascii="宋体" w:hAnsi="宋体"/>
          <w:szCs w:val="21"/>
        </w:rPr>
      </w:pPr>
      <w:r>
        <w:rPr>
          <w:rFonts w:hint="eastAsia" w:ascii="宋体" w:hAnsi="宋体"/>
          <w:szCs w:val="21"/>
        </w:rPr>
        <w:t>（三）其它要求：</w:t>
      </w:r>
    </w:p>
    <w:p>
      <w:pPr>
        <w:pStyle w:val="2"/>
        <w:spacing w:beforeLines="25" w:afterLines="25"/>
        <w:rPr>
          <w:rFonts w:ascii="宋体" w:hAnsi="宋体"/>
          <w:szCs w:val="21"/>
        </w:rPr>
      </w:pPr>
      <w:r>
        <w:rPr>
          <w:rFonts w:hint="eastAsia" w:ascii="宋体" w:hAnsi="宋体"/>
          <w:szCs w:val="21"/>
        </w:rPr>
        <w:t>1.参加本次现场演示的各投标人，视为认可本次现场演示的程序和环境能够满足现场演示基本条件，并对本现场演示方案要求内的各项规定不做事后异议，且能够严格遵守相关规定。</w:t>
      </w:r>
    </w:p>
    <w:p>
      <w:pPr>
        <w:pStyle w:val="2"/>
        <w:spacing w:beforeLines="25" w:afterLines="25"/>
        <w:rPr>
          <w:rFonts w:ascii="宋体" w:hAnsi="宋体"/>
          <w:szCs w:val="21"/>
        </w:rPr>
      </w:pPr>
      <w:r>
        <w:rPr>
          <w:rFonts w:hint="eastAsia" w:ascii="宋体" w:hAnsi="宋体"/>
          <w:szCs w:val="21"/>
        </w:rPr>
        <w:t>2.现场演示在正式评标环节前进行。现场演示原则上按签到顺序依次进行（经评委同意，可以酌情进行调整）。一个投标人一次性现场演示完毕。一个投标人在进行现场演示时，其他投标人不得进入现场。现场演示期间，评委可视情况现场提问。</w:t>
      </w:r>
    </w:p>
    <w:p>
      <w:pPr>
        <w:pStyle w:val="2"/>
        <w:spacing w:beforeLines="25" w:afterLines="25"/>
        <w:rPr>
          <w:rFonts w:ascii="宋体" w:hAnsi="宋体"/>
          <w:szCs w:val="21"/>
        </w:rPr>
      </w:pPr>
      <w:r>
        <w:rPr>
          <w:rFonts w:hint="eastAsia" w:ascii="宋体" w:hAnsi="宋体"/>
          <w:szCs w:val="21"/>
        </w:rPr>
        <w:t>3.投标人对本次现场演示条件的不确定性疑虑应在现场演示开始前做书面陈述，若疑虑不能完全消除，并认为现场演示结果仍会产生误判，则可退出现场演示。</w:t>
      </w:r>
    </w:p>
    <w:p>
      <w:pPr>
        <w:pStyle w:val="2"/>
        <w:spacing w:beforeLines="25" w:afterLines="25"/>
        <w:rPr>
          <w:rFonts w:ascii="宋体" w:hAnsi="宋体"/>
          <w:szCs w:val="21"/>
        </w:rPr>
      </w:pPr>
      <w:r>
        <w:rPr>
          <w:rFonts w:hint="eastAsia" w:ascii="宋体" w:hAnsi="宋体"/>
          <w:szCs w:val="21"/>
        </w:rPr>
        <w:t>4.参加本次现场演示的各投标人，视为同意承担其演示结果不确定性的风险，即同意专家以现场演示情况的判定结论。</w:t>
      </w:r>
    </w:p>
    <w:p>
      <w:pPr>
        <w:pStyle w:val="2"/>
        <w:spacing w:beforeLines="25" w:afterLines="25"/>
        <w:rPr>
          <w:rFonts w:ascii="宋体" w:hAnsi="宋体"/>
          <w:szCs w:val="21"/>
        </w:rPr>
      </w:pPr>
      <w:r>
        <w:rPr>
          <w:rFonts w:hint="eastAsia" w:ascii="宋体" w:hAnsi="宋体"/>
          <w:szCs w:val="21"/>
        </w:rPr>
        <w:t>5.各项费用由投标人自理、风险自负。</w:t>
      </w:r>
    </w:p>
    <w:p>
      <w:pPr>
        <w:pStyle w:val="2"/>
        <w:spacing w:beforeLines="25" w:afterLines="25"/>
        <w:rPr>
          <w:rFonts w:ascii="宋体" w:hAnsi="宋体"/>
          <w:szCs w:val="21"/>
        </w:rPr>
      </w:pPr>
      <w:r>
        <w:rPr>
          <w:rFonts w:hint="eastAsia" w:ascii="宋体" w:hAnsi="宋体"/>
          <w:szCs w:val="21"/>
        </w:rPr>
        <w:t>（四）演示内容：</w:t>
      </w:r>
    </w:p>
    <w:p>
      <w:pPr>
        <w:pStyle w:val="2"/>
        <w:spacing w:beforeLines="25" w:afterLines="25"/>
        <w:rPr>
          <w:rFonts w:ascii="宋体" w:hAnsi="宋体"/>
          <w:szCs w:val="21"/>
        </w:rPr>
      </w:pPr>
      <w:r>
        <w:rPr>
          <w:rFonts w:hint="eastAsia" w:ascii="宋体" w:hAnsi="宋体"/>
          <w:szCs w:val="21"/>
        </w:rPr>
        <w:t>1.分析智慧口岸建设总体规划的相关现状、问题和重点、难点；</w:t>
      </w:r>
    </w:p>
    <w:p>
      <w:pPr>
        <w:pStyle w:val="2"/>
        <w:spacing w:beforeLines="25" w:afterLines="25"/>
        <w:rPr>
          <w:rFonts w:ascii="宋体" w:hAnsi="宋体"/>
          <w:szCs w:val="21"/>
        </w:rPr>
      </w:pPr>
      <w:r>
        <w:rPr>
          <w:rFonts w:hint="eastAsia" w:ascii="宋体" w:hAnsi="宋体"/>
          <w:szCs w:val="21"/>
        </w:rPr>
        <w:t>2.结合深圳实际提出智慧口岸建设思路、实施路径及智慧口岸推进工作建议。</w:t>
      </w:r>
    </w:p>
    <w:p>
      <w:pPr>
        <w:pStyle w:val="2"/>
        <w:spacing w:beforeLines="25" w:afterLines="25"/>
        <w:ind w:firstLine="210" w:firstLineChars="100"/>
        <w:rPr>
          <w:rFonts w:ascii="宋体" w:hAnsi="宋体"/>
          <w:szCs w:val="21"/>
        </w:rPr>
      </w:pPr>
    </w:p>
    <w:p>
      <w:pPr>
        <w:pStyle w:val="5"/>
        <w:spacing w:beforeLines="50" w:afterLines="50"/>
        <w:rPr>
          <w:b/>
          <w:bCs/>
          <w:sz w:val="28"/>
          <w:szCs w:val="28"/>
        </w:rPr>
      </w:pPr>
      <w:r>
        <w:rPr>
          <w:rFonts w:hint="eastAsia"/>
          <w:b/>
          <w:bCs/>
          <w:sz w:val="28"/>
          <w:szCs w:val="28"/>
        </w:rPr>
        <w:t>八、政策导向（根据政策进行调整具体内容）</w:t>
      </w:r>
    </w:p>
    <w:p>
      <w:pPr>
        <w:ind w:firstLine="420" w:firstLineChars="200"/>
      </w:pPr>
      <w:r>
        <w:rPr>
          <w:rFonts w:hint="eastAsia"/>
        </w:rPr>
        <w:t>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ind w:firstLine="420" w:firstLineChars="200"/>
      </w:pPr>
      <w:r>
        <w:rPr>
          <w:rFonts w:hint="eastAsia"/>
        </w:rPr>
        <w:t>财政部、国家发展和改革委员会制定的《节能产品政府采购清单》，财政部、环境保护部制定的《环境标志产品政府采购清单》中列示的企业及产品，详见中国政府采购网（</w:t>
      </w:r>
      <w:r>
        <w:fldChar w:fldCharType="begin"/>
      </w:r>
      <w:r>
        <w:instrText xml:space="preserve"> HYPERLINK "http://www.ccgp.gov.cn" </w:instrText>
      </w:r>
      <w:r>
        <w:fldChar w:fldCharType="separate"/>
      </w:r>
      <w:r>
        <w:rPr>
          <w:rStyle w:val="49"/>
          <w:rFonts w:hint="default"/>
        </w:rPr>
        <w:t>http://www</w:t>
      </w:r>
      <w:bookmarkStart w:id="69" w:name="_Hlt493854809"/>
      <w:bookmarkStart w:id="70" w:name="_Hlt493854808"/>
      <w:r>
        <w:rPr>
          <w:rStyle w:val="49"/>
          <w:rFonts w:hint="default"/>
        </w:rPr>
        <w:t>.</w:t>
      </w:r>
      <w:bookmarkEnd w:id="69"/>
      <w:bookmarkEnd w:id="70"/>
      <w:r>
        <w:rPr>
          <w:rStyle w:val="49"/>
          <w:rFonts w:hint="default"/>
        </w:rPr>
        <w:t>ccgp.gov.cn</w:t>
      </w:r>
      <w:r>
        <w:rPr>
          <w:rStyle w:val="49"/>
          <w:rFonts w:hint="default"/>
        </w:rPr>
        <w:fldChar w:fldCharType="end"/>
      </w:r>
      <w:r>
        <w:rPr>
          <w:rFonts w:hint="eastAsia"/>
        </w:rPr>
        <w:t>/）首页。</w:t>
      </w:r>
    </w:p>
    <w:p>
      <w:pPr>
        <w:ind w:firstLine="420" w:firstLineChars="200"/>
      </w:pPr>
      <w:r>
        <w:rPr>
          <w:rFonts w:hint="eastAsia"/>
        </w:rPr>
        <w:t>2、进入以上清单范围的投标产品将在评标时获得竞争优势。</w:t>
      </w:r>
    </w:p>
    <w:p>
      <w:pPr>
        <w:ind w:firstLine="420" w:firstLineChars="200"/>
      </w:pPr>
      <w:r>
        <w:rPr>
          <w:rFonts w:hint="eastAsia"/>
        </w:rPr>
        <w:t>3、2014年起，政府部门、国有企业在进行设备或工程采购时，应在采购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ind w:firstLine="420" w:firstLineChars="200"/>
      </w:pPr>
      <w:r>
        <w:t>4</w:t>
      </w:r>
      <w:r>
        <w:rPr>
          <w:rFonts w:hint="eastAsia"/>
        </w:rPr>
        <w:t>、按照《政府采购促进中小企业发展暂行办法》的要求，对小型和微型企业产品的价格给予</w:t>
      </w:r>
      <w:r>
        <w:rPr>
          <w:rFonts w:hint="eastAsia"/>
          <w:b/>
          <w:bCs/>
          <w:u w:val="single"/>
        </w:rPr>
        <w:t>10</w:t>
      </w:r>
      <w:r>
        <w:rPr>
          <w:b/>
          <w:bCs/>
          <w:u w:val="single"/>
        </w:rPr>
        <w:t>%</w:t>
      </w:r>
      <w:r>
        <w:rPr>
          <w:rFonts w:hint="eastAsia"/>
        </w:rPr>
        <w:t>的扣除，用扣除后的价格参与评审。</w:t>
      </w:r>
    </w:p>
    <w:p>
      <w:pPr>
        <w:ind w:firstLine="420" w:firstLineChars="200"/>
      </w:pPr>
      <w:r>
        <w:rPr>
          <w:rFonts w:hint="eastAsia"/>
        </w:rPr>
        <w:t>5、</w:t>
      </w:r>
      <w:r>
        <w:rPr>
          <w:rFonts w:hint="eastAsia" w:ascii="宋体" w:hAnsi="宋体" w:cs="宋体"/>
        </w:rPr>
        <w:t>根据《财政部 司法部关于政府采购支持监狱企业发展有关问题的通知》（财库[2014]68号）的规定，在政府采购活动中，监狱企业视同小型、微型企业，享受预留份额、评审中价格扣除等政府采购促进中小企业发展的政府采购政策。</w:t>
      </w:r>
    </w:p>
    <w:p>
      <w:pPr>
        <w:ind w:firstLine="420" w:firstLineChars="200"/>
      </w:pPr>
      <w:r>
        <w:rPr>
          <w:rFonts w:hint="eastAsia"/>
        </w:rPr>
        <w:t>6、按照三部门联合发布关于促进残疾人就业政府采购政策的通知财库〔2017〕141号要求，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ind w:firstLine="405"/>
        <w:rPr>
          <w:rFonts w:ascii="宋体" w:hAnsi="宋体"/>
        </w:rPr>
      </w:pPr>
      <w:r>
        <w:rPr>
          <w:rFonts w:hint="eastAsia"/>
          <w:color w:val="000000"/>
          <w:shd w:val="clear" w:color="auto" w:fill="FFFFFF"/>
        </w:rPr>
        <w:t>7、</w:t>
      </w:r>
      <w:r>
        <w:rPr>
          <w:rFonts w:hint="eastAsia" w:ascii="宋体" w:hAnsi="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
        <w:rPr>
          <w:rFonts w:hint="eastAsia"/>
        </w:rPr>
        <w:br w:type="page"/>
      </w:r>
    </w:p>
    <w:p>
      <w:pPr>
        <w:pStyle w:val="5"/>
        <w:rPr>
          <w:kern w:val="2"/>
        </w:rPr>
      </w:pPr>
      <w:r>
        <w:rPr>
          <w:rFonts w:hint="eastAsia"/>
          <w:b/>
          <w:bCs/>
          <w:kern w:val="2"/>
          <w:sz w:val="28"/>
          <w:szCs w:val="21"/>
        </w:rPr>
        <w:t>第三章</w:t>
      </w:r>
      <w:r>
        <w:rPr>
          <w:b/>
          <w:bCs/>
          <w:kern w:val="2"/>
          <w:sz w:val="28"/>
          <w:szCs w:val="21"/>
        </w:rPr>
        <w:t xml:space="preserve"> </w:t>
      </w:r>
      <w:r>
        <w:rPr>
          <w:rFonts w:hint="eastAsia"/>
          <w:b/>
          <w:bCs/>
          <w:kern w:val="2"/>
          <w:sz w:val="28"/>
          <w:szCs w:val="21"/>
        </w:rPr>
        <w:t xml:space="preserve"> 投标文件格式、附件</w:t>
      </w:r>
    </w:p>
    <w:p>
      <w:pPr>
        <w:rPr>
          <w:rStyle w:val="56"/>
          <w:sz w:val="24"/>
        </w:rPr>
      </w:pPr>
      <w:r>
        <w:rPr>
          <w:rStyle w:val="56"/>
          <w:rFonts w:hint="eastAsia"/>
          <w:sz w:val="24"/>
        </w:rPr>
        <w:t>特别提醒：</w:t>
      </w:r>
    </w:p>
    <w:p>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hint="eastAsia" w:ascii="仿宋_GB2312" w:eastAsia="仿宋_GB2312"/>
          <w:sz w:val="24"/>
        </w:rPr>
        <w:t xml:space="preserve">    投标文件正文（信息公开部分）必须编制于“投标书目录”，投标文件附件（非信息公开部分）必须编制于“投标书附件”，如下图所示。</w:t>
      </w:r>
    </w:p>
    <w:p>
      <w:pPr>
        <w:rPr>
          <w:rFonts w:ascii="仿宋_GB2312" w:eastAsia="仿宋_GB2312"/>
          <w:sz w:val="24"/>
        </w:rPr>
      </w:pPr>
    </w:p>
    <w:p>
      <w:pPr>
        <w:widowControl/>
        <w:jc w:val="left"/>
        <w:rPr>
          <w:rFonts w:ascii="宋体" w:hAnsi="宋体" w:cs="宋体"/>
          <w:kern w:val="0"/>
          <w:sz w:val="24"/>
        </w:rPr>
      </w:pPr>
      <w:r>
        <w:rPr>
          <w:rFonts w:ascii="宋体" w:hAnsi="宋体" w:cs="宋体"/>
          <w:kern w:val="0"/>
          <w:sz w:val="24"/>
        </w:rPr>
        <w:drawing>
          <wp:inline distT="0" distB="0" distL="0" distR="0">
            <wp:extent cx="5371465" cy="5836920"/>
            <wp:effectExtent l="19050" t="0" r="443" b="0"/>
            <wp:docPr id="8" name="图片 1" descr="C:\Users\weixun\Documents\Tencent Files\175277410\Image\C2C\Image1\{H1XV2%NX4X1)YQ5G]$]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weixun\Documents\Tencent Files\175277410\Image\C2C\Image1\{H1XV2%NX4X1)YQ5G]$]R@1.png"/>
                    <pic:cNvPicPr>
                      <a:picLocks noChangeAspect="1" noChangeArrowheads="1"/>
                    </pic:cNvPicPr>
                  </pic:nvPicPr>
                  <pic:blipFill>
                    <a:blip r:embed="rId6" cstate="print"/>
                    <a:srcRect/>
                    <a:stretch>
                      <a:fillRect/>
                    </a:stretch>
                  </pic:blipFill>
                  <pic:spPr>
                    <a:xfrm>
                      <a:off x="0" y="0"/>
                      <a:ext cx="5373083" cy="5838825"/>
                    </a:xfrm>
                    <a:prstGeom prst="rect">
                      <a:avLst/>
                    </a:prstGeom>
                    <a:noFill/>
                    <a:ln w="9525">
                      <a:noFill/>
                      <a:miter lim="800000"/>
                      <a:headEnd/>
                      <a:tailEnd/>
                    </a:ln>
                  </pic:spPr>
                </pic:pic>
              </a:graphicData>
            </a:graphic>
          </wp:inline>
        </w:drawing>
      </w:r>
    </w:p>
    <w:p>
      <w:pPr>
        <w:jc w:val="center"/>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公布投标文件正文（信息公开部分）时为计算机截取信息自动公布，如投标人误将涉及个人隐私的信息放入投标文件正文，相关后果由投标人自负；如投标人将必须放于投标文件正文（信息公开部分）的内容放入投标文件附件（非信息公开部分）以回避信息公开，将作投标无效处理。</w:t>
      </w:r>
    </w:p>
    <w:p>
      <w:pPr>
        <w:ind w:firstLine="482" w:firstLineChars="200"/>
        <w:rPr>
          <w:rFonts w:ascii="宋体" w:hAnsi="宋体"/>
          <w:b/>
          <w:sz w:val="24"/>
        </w:rPr>
      </w:pPr>
    </w:p>
    <w:p>
      <w:pPr>
        <w:ind w:firstLine="420" w:firstLineChars="200"/>
        <w:rPr>
          <w:rFonts w:ascii="宋体" w:hAnsi="宋体"/>
          <w:szCs w:val="21"/>
        </w:rPr>
      </w:pPr>
      <w:r>
        <w:rPr>
          <w:rFonts w:hint="eastAsia" w:ascii="宋体" w:hAnsi="宋体"/>
          <w:szCs w:val="21"/>
        </w:rPr>
        <w:t>各投标供应商：</w:t>
      </w:r>
    </w:p>
    <w:p>
      <w:pPr>
        <w:ind w:firstLine="420" w:firstLineChars="200"/>
        <w:rPr>
          <w:rFonts w:ascii="宋体" w:hAnsi="宋体"/>
          <w:szCs w:val="21"/>
        </w:rPr>
      </w:pPr>
      <w:r>
        <w:rPr>
          <w:rFonts w:hint="eastAsia" w:ascii="宋体" w:hAnsi="宋体"/>
          <w:szCs w:val="21"/>
        </w:rPr>
        <w:t>根据《中华人民共和国政府采购法》及《深圳经济特区政府采购条例》有关规定，为增强各供应商诚信守法、公平竞争意识，规范各供应商投标行为，有效遏制投标供应商在政府采购活动中的串通投标、造假等不诚信行为，促进我市政府采购市场诚信体系建设，确保我市政府采购工作公开、公平和公正，三方诚信招标有限公司将依法依规对如下投标信息予以公示，望各投标供应商给予配合，履行好自身的权益和义务。</w:t>
      </w:r>
    </w:p>
    <w:p>
      <w:pPr>
        <w:ind w:firstLine="420" w:firstLineChars="200"/>
        <w:rPr>
          <w:rFonts w:ascii="宋体" w:hAnsi="宋体"/>
          <w:szCs w:val="21"/>
        </w:rPr>
      </w:pPr>
      <w:r>
        <w:rPr>
          <w:rFonts w:hint="eastAsia" w:ascii="宋体" w:hAnsi="宋体"/>
          <w:szCs w:val="21"/>
        </w:rPr>
        <w:t>1．公示的内容。公示的内容为投标文件信息公开部分的内容，如营业执照、资质证书、项目业绩、履约验收报告及评价、设备发票、职称、货物的规格型号及配置参数等。</w:t>
      </w:r>
    </w:p>
    <w:p>
      <w:pPr>
        <w:ind w:firstLine="420" w:firstLineChars="200"/>
        <w:rPr>
          <w:rFonts w:ascii="宋体" w:hAnsi="宋体"/>
          <w:szCs w:val="21"/>
        </w:rPr>
      </w:pPr>
      <w:r>
        <w:rPr>
          <w:rFonts w:hint="eastAsia" w:ascii="宋体" w:hAnsi="宋体"/>
          <w:szCs w:val="21"/>
        </w:rPr>
        <w:t>2．公示时间。从2014年9月10日起，所有新公告的政府采购项目的投标供应商的投标文件都进行公示。公示时间有两次，具体是：</w:t>
      </w:r>
    </w:p>
    <w:p>
      <w:pPr>
        <w:ind w:firstLine="420" w:firstLineChars="200"/>
        <w:rPr>
          <w:rFonts w:ascii="宋体" w:hAnsi="宋体"/>
          <w:szCs w:val="21"/>
        </w:rPr>
      </w:pPr>
      <w:r>
        <w:rPr>
          <w:rFonts w:hint="eastAsia" w:ascii="宋体" w:hAnsi="宋体"/>
          <w:szCs w:val="21"/>
        </w:rPr>
        <w:t>第一次公示时间：评标环节。当项目开标评审开始后，所有投标供应商的投标文件有关信息将随开标一览表向所有参与的投标供应商进行公开；</w:t>
      </w:r>
    </w:p>
    <w:p>
      <w:pPr>
        <w:ind w:firstLine="420" w:firstLineChars="200"/>
        <w:rPr>
          <w:rFonts w:ascii="宋体" w:hAnsi="宋体"/>
          <w:szCs w:val="21"/>
        </w:rPr>
      </w:pPr>
      <w:r>
        <w:rPr>
          <w:rFonts w:hint="eastAsia" w:ascii="宋体" w:hAnsi="宋体"/>
          <w:szCs w:val="21"/>
        </w:rPr>
        <w:t>第二次公示时间：中标结果公布环节。当发布中标结果时，同时向社会公布参加该政府采购项目的投标供应商（包括中标和未中标供应商）的投标文件。</w:t>
      </w:r>
    </w:p>
    <w:p>
      <w:pPr>
        <w:ind w:firstLine="420" w:firstLineChars="200"/>
        <w:rPr>
          <w:rFonts w:ascii="宋体" w:hAnsi="宋体"/>
          <w:szCs w:val="21"/>
        </w:rPr>
      </w:pPr>
      <w:r>
        <w:rPr>
          <w:rFonts w:hint="eastAsia" w:ascii="宋体" w:hAnsi="宋体"/>
          <w:szCs w:val="21"/>
        </w:rPr>
        <w:t>3．履行职责并及时指出有造假的行为。各投标人有权对公示内容进行监督，在第一次信息公开后的90分钟内，向三方诚信招标有限公司反馈质疑和举报有造假行为的供应商，具体操作：</w:t>
      </w:r>
    </w:p>
    <w:p>
      <w:pPr>
        <w:ind w:firstLine="420" w:firstLineChars="200"/>
        <w:rPr>
          <w:rFonts w:ascii="宋体" w:hAnsi="宋体"/>
          <w:szCs w:val="21"/>
        </w:rPr>
      </w:pPr>
      <w:r>
        <w:rPr>
          <w:rFonts w:hint="eastAsia" w:ascii="宋体" w:hAnsi="宋体"/>
          <w:szCs w:val="21"/>
        </w:rPr>
        <w:t>点击“我要举报”按键，系统即显示所有投标人相关内容，选择有造假的供应商，在公示内容上点击。该内容下框会有“√”显示，当选择完后，确认提交至三方诚信招标有限公司辅助评标系统。评标委员会将于开标后的90分钟后打开该系统，如显示有被举报的供应商，评标委员会即启动取证环节的相关工作，当取证完成，经确认该投标人有造假，则该供应商投标无效，同时将依规定予以处罚。反之，如该项目无任何举报信息，评标继续进行。</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本项目各投标供应商，应在开标后始终保持本项目联系人手机畅通。当开标时间超过90分钟后，三方诚信招标有限公司将视举报信息反馈情况会与您通话（所有通话内容将会录音），如有要求提交公示内容正本（原件）的，务必在通话后的120分钟内送达至三方诚信招标有限公司，以便评委现场查验。如不按时送达或拒送原件的，您的投标将视为投标响应不足，评标委员会将终止对该企业的标书评审，投标文件将视为弃标，评标中止；如查验确为造假，则投标无效，并视情况再作进一步处理。</w:t>
      </w:r>
    </w:p>
    <w:p>
      <w:pPr>
        <w:ind w:firstLine="420" w:firstLineChars="200"/>
        <w:rPr>
          <w:rFonts w:ascii="宋体" w:hAnsi="宋体"/>
          <w:szCs w:val="21"/>
        </w:rPr>
      </w:pPr>
      <w:r>
        <w:rPr>
          <w:rFonts w:hint="eastAsia" w:ascii="宋体" w:hAnsi="宋体"/>
          <w:szCs w:val="21"/>
        </w:rPr>
        <w:t>第二次中标供应商信息公示的质疑，按现规定和做法执行。</w:t>
      </w:r>
    </w:p>
    <w:p>
      <w:pPr>
        <w:ind w:firstLine="420" w:firstLineChars="200"/>
        <w:rPr>
          <w:rFonts w:ascii="仿宋_GB2312" w:eastAsia="仿宋_GB2312"/>
          <w:sz w:val="24"/>
        </w:rPr>
      </w:pPr>
      <w:r>
        <w:rPr>
          <w:rFonts w:hint="eastAsia" w:ascii="宋体" w:hAnsi="宋体"/>
          <w:szCs w:val="21"/>
        </w:rPr>
        <w:t>望各供应商要珍惜本次投标机会，诚实、守信、依法、依规投标。</w:t>
      </w:r>
    </w:p>
    <w:p>
      <w:pPr>
        <w:rPr>
          <w:rFonts w:ascii="仿宋_GB2312" w:eastAsia="仿宋_GB2312"/>
          <w:sz w:val="24"/>
        </w:rPr>
      </w:pPr>
    </w:p>
    <w:p>
      <w:pPr>
        <w:rPr>
          <w:rFonts w:ascii="宋体" w:hAnsi="宋体"/>
          <w:sz w:val="24"/>
        </w:rPr>
      </w:pPr>
      <w:r>
        <w:rPr>
          <w:rFonts w:hint="eastAsia" w:ascii="宋体" w:hAnsi="宋体"/>
          <w:sz w:val="24"/>
        </w:rPr>
        <w:t>投标文件组成：</w:t>
      </w:r>
    </w:p>
    <w:p>
      <w:pPr>
        <w:ind w:firstLine="424" w:firstLineChars="202"/>
        <w:rPr>
          <w:rFonts w:ascii="宋体" w:hAnsi="宋体"/>
          <w:sz w:val="24"/>
        </w:rPr>
      </w:pPr>
      <w:r>
        <w:rPr>
          <w:rFonts w:hint="eastAsia" w:ascii="宋体" w:hAnsi="宋体"/>
        </w:rPr>
        <w:t>1.投标文件正文</w:t>
      </w:r>
      <w:r>
        <w:rPr>
          <w:rFonts w:hint="eastAsia" w:ascii="宋体" w:hAnsi="宋体"/>
          <w:b/>
          <w:szCs w:val="21"/>
        </w:rPr>
        <w:t>（信息公开部分）</w:t>
      </w:r>
      <w:r>
        <w:rPr>
          <w:rFonts w:hint="eastAsia" w:ascii="宋体" w:hAnsi="宋体"/>
        </w:rPr>
        <w:t>，主要</w:t>
      </w:r>
      <w:r>
        <w:rPr>
          <w:rFonts w:hint="eastAsia" w:ascii="宋体" w:hAnsi="宋体"/>
          <w:szCs w:val="21"/>
        </w:rPr>
        <w:t>包括以下内容：</w:t>
      </w:r>
      <w:r>
        <w:rPr>
          <w:rFonts w:hint="eastAsia" w:ascii="宋体" w:hAnsi="宋体"/>
        </w:rPr>
        <w:t>：</w:t>
      </w:r>
    </w:p>
    <w:p>
      <w:pPr>
        <w:pStyle w:val="2"/>
        <w:spacing w:beforeLines="25" w:afterLines="25"/>
        <w:ind w:firstLine="991" w:firstLineChars="472"/>
        <w:rPr>
          <w:rFonts w:ascii="宋体" w:hAnsi="宋体"/>
          <w:szCs w:val="21"/>
        </w:rPr>
      </w:pPr>
      <w:r>
        <w:rPr>
          <w:rFonts w:hint="eastAsia" w:ascii="宋体" w:hAnsi="宋体"/>
          <w:szCs w:val="21"/>
        </w:rPr>
        <w:t>（1）投标函</w:t>
      </w:r>
    </w:p>
    <w:p>
      <w:pPr>
        <w:pStyle w:val="2"/>
        <w:spacing w:beforeLines="25" w:afterLines="25"/>
        <w:ind w:firstLine="991" w:firstLineChars="472"/>
        <w:rPr>
          <w:rFonts w:ascii="宋体" w:hAnsi="宋体"/>
          <w:szCs w:val="21"/>
        </w:rPr>
      </w:pPr>
      <w:r>
        <w:rPr>
          <w:rFonts w:hint="eastAsia" w:ascii="宋体" w:hAnsi="宋体"/>
          <w:szCs w:val="21"/>
        </w:rPr>
        <w:t>（2）政府采购投标及履约承诺函</w:t>
      </w:r>
    </w:p>
    <w:p>
      <w:pPr>
        <w:pStyle w:val="2"/>
        <w:spacing w:beforeLines="25" w:afterLines="25"/>
        <w:ind w:firstLine="991" w:firstLineChars="472"/>
        <w:rPr>
          <w:rFonts w:ascii="宋体" w:hAnsi="宋体"/>
          <w:szCs w:val="21"/>
        </w:rPr>
      </w:pPr>
      <w:r>
        <w:rPr>
          <w:rFonts w:hint="eastAsia" w:ascii="宋体" w:hAnsi="宋体"/>
          <w:szCs w:val="21"/>
        </w:rPr>
        <w:t>（3）投标人情况介绍及资格要求</w:t>
      </w:r>
    </w:p>
    <w:p>
      <w:pPr>
        <w:pStyle w:val="2"/>
        <w:spacing w:beforeLines="25" w:afterLines="25"/>
        <w:ind w:firstLine="991" w:firstLineChars="472"/>
        <w:rPr>
          <w:rFonts w:ascii="宋体" w:hAnsi="宋体"/>
          <w:szCs w:val="21"/>
        </w:rPr>
      </w:pPr>
      <w:r>
        <w:rPr>
          <w:rFonts w:hint="eastAsia" w:ascii="宋体" w:hAnsi="宋体"/>
          <w:szCs w:val="21"/>
        </w:rPr>
        <w:t>（4）投标人通过相关认证情况（格式自定）</w:t>
      </w:r>
    </w:p>
    <w:p>
      <w:pPr>
        <w:pStyle w:val="2"/>
        <w:spacing w:beforeLines="25" w:afterLines="25"/>
        <w:ind w:firstLine="991" w:firstLineChars="472"/>
        <w:rPr>
          <w:rFonts w:ascii="宋体" w:hAnsi="宋体"/>
          <w:szCs w:val="21"/>
        </w:rPr>
      </w:pPr>
      <w:r>
        <w:rPr>
          <w:rFonts w:hint="eastAsia" w:ascii="宋体" w:hAnsi="宋体"/>
          <w:szCs w:val="21"/>
        </w:rPr>
        <w:t>（5）投标人同类项目业绩情况（格式自定）</w:t>
      </w:r>
    </w:p>
    <w:p>
      <w:pPr>
        <w:pStyle w:val="2"/>
        <w:spacing w:beforeLines="25" w:afterLines="25"/>
        <w:ind w:firstLine="991" w:firstLineChars="472"/>
        <w:rPr>
          <w:rFonts w:ascii="宋体" w:hAnsi="宋体"/>
          <w:szCs w:val="21"/>
        </w:rPr>
      </w:pPr>
      <w:r>
        <w:rPr>
          <w:rFonts w:hint="eastAsia" w:ascii="宋体" w:hAnsi="宋体"/>
          <w:szCs w:val="21"/>
        </w:rPr>
        <w:t>（6）投标人获奖情况（格式自定）</w:t>
      </w:r>
    </w:p>
    <w:p>
      <w:pPr>
        <w:pStyle w:val="2"/>
        <w:spacing w:beforeLines="25" w:afterLines="25"/>
        <w:ind w:firstLine="991" w:firstLineChars="472"/>
        <w:rPr>
          <w:rFonts w:ascii="宋体" w:hAnsi="宋体"/>
          <w:szCs w:val="21"/>
        </w:rPr>
      </w:pPr>
      <w:r>
        <w:rPr>
          <w:rFonts w:hint="eastAsia" w:ascii="宋体" w:hAnsi="宋体"/>
          <w:szCs w:val="21"/>
        </w:rPr>
        <w:t>（7）拟安排的项目负责人情况（仅限一人）（格式自定）</w:t>
      </w:r>
    </w:p>
    <w:p>
      <w:pPr>
        <w:pStyle w:val="2"/>
        <w:spacing w:beforeLines="25" w:afterLines="25"/>
        <w:ind w:firstLine="991" w:firstLineChars="472"/>
        <w:rPr>
          <w:rFonts w:ascii="宋体" w:hAnsi="宋体"/>
          <w:szCs w:val="21"/>
        </w:rPr>
      </w:pPr>
      <w:r>
        <w:rPr>
          <w:rFonts w:hint="eastAsia" w:ascii="宋体" w:hAnsi="宋体"/>
          <w:szCs w:val="21"/>
        </w:rPr>
        <w:t>（8）拟安排的项目主要团队成员（主要技术人员）情况（项目负责人除外）（格式自定）</w:t>
      </w:r>
    </w:p>
    <w:p>
      <w:pPr>
        <w:pStyle w:val="2"/>
        <w:spacing w:beforeLines="25" w:afterLines="25"/>
        <w:ind w:firstLine="991" w:firstLineChars="472"/>
        <w:rPr>
          <w:rFonts w:ascii="宋体" w:hAnsi="宋体"/>
          <w:szCs w:val="21"/>
        </w:rPr>
      </w:pPr>
      <w:r>
        <w:rPr>
          <w:rFonts w:hint="eastAsia" w:ascii="宋体" w:hAnsi="宋体"/>
          <w:szCs w:val="21"/>
        </w:rPr>
        <w:t>（9）投标人自主知识产权产品（创新、设计）情况（格式自定）</w:t>
      </w:r>
    </w:p>
    <w:p>
      <w:pPr>
        <w:pStyle w:val="2"/>
        <w:spacing w:beforeLines="25" w:afterLines="25"/>
        <w:ind w:firstLine="991" w:firstLineChars="472"/>
        <w:rPr>
          <w:rFonts w:ascii="宋体" w:hAnsi="宋体"/>
          <w:szCs w:val="21"/>
        </w:rPr>
      </w:pPr>
      <w:r>
        <w:rPr>
          <w:rFonts w:hint="eastAsia" w:ascii="宋体" w:hAnsi="宋体"/>
          <w:szCs w:val="21"/>
        </w:rPr>
        <w:t>（10）项目拟使用的车辆、场地、工具、机器等情况（格式自定）</w:t>
      </w:r>
    </w:p>
    <w:p>
      <w:pPr>
        <w:pStyle w:val="2"/>
        <w:spacing w:beforeLines="25" w:afterLines="25"/>
        <w:ind w:firstLine="991" w:firstLineChars="472"/>
        <w:rPr>
          <w:rFonts w:ascii="宋体" w:hAnsi="宋体"/>
          <w:szCs w:val="21"/>
        </w:rPr>
      </w:pPr>
      <w:r>
        <w:rPr>
          <w:rFonts w:hint="eastAsia" w:ascii="宋体" w:hAnsi="宋体"/>
          <w:szCs w:val="21"/>
        </w:rPr>
        <w:t>（11）环保执行情况（格式自定）</w:t>
      </w:r>
    </w:p>
    <w:p>
      <w:pPr>
        <w:pStyle w:val="2"/>
        <w:spacing w:beforeLines="25" w:afterLines="25"/>
        <w:ind w:firstLine="991" w:firstLineChars="472"/>
        <w:rPr>
          <w:rFonts w:ascii="宋体" w:hAnsi="宋体"/>
          <w:szCs w:val="21"/>
        </w:rPr>
      </w:pPr>
      <w:r>
        <w:rPr>
          <w:rFonts w:hint="eastAsia" w:ascii="宋体" w:hAnsi="宋体"/>
          <w:szCs w:val="21"/>
        </w:rPr>
        <w:t>（12）服务网点（格式自定）</w:t>
      </w:r>
    </w:p>
    <w:p>
      <w:pPr>
        <w:pStyle w:val="2"/>
        <w:spacing w:beforeLines="25" w:afterLines="25"/>
        <w:ind w:firstLine="991" w:firstLineChars="472"/>
        <w:rPr>
          <w:rFonts w:ascii="宋体" w:hAnsi="宋体"/>
          <w:szCs w:val="21"/>
        </w:rPr>
      </w:pPr>
      <w:r>
        <w:rPr>
          <w:rFonts w:hint="eastAsia" w:ascii="宋体" w:hAnsi="宋体"/>
          <w:szCs w:val="21"/>
        </w:rPr>
        <w:t>（13）疫情防控重点保障企业（格式自定）</w:t>
      </w:r>
    </w:p>
    <w:p>
      <w:pPr>
        <w:pStyle w:val="2"/>
        <w:spacing w:beforeLines="25" w:afterLines="25"/>
        <w:ind w:firstLine="991" w:firstLineChars="472"/>
        <w:rPr>
          <w:rFonts w:ascii="宋体" w:hAnsi="宋体"/>
          <w:szCs w:val="21"/>
        </w:rPr>
      </w:pPr>
      <w:r>
        <w:rPr>
          <w:rFonts w:hint="eastAsia" w:ascii="宋体" w:hAnsi="宋体"/>
          <w:szCs w:val="21"/>
        </w:rPr>
        <w:t>（14）稳岗企业（格式自定）</w:t>
      </w:r>
    </w:p>
    <w:p>
      <w:pPr>
        <w:pStyle w:val="2"/>
        <w:spacing w:beforeLines="25" w:afterLines="25"/>
        <w:ind w:firstLine="991" w:firstLineChars="472"/>
        <w:rPr>
          <w:rFonts w:ascii="宋体" w:hAnsi="宋体"/>
          <w:szCs w:val="21"/>
        </w:rPr>
      </w:pPr>
      <w:r>
        <w:rPr>
          <w:rFonts w:hint="eastAsia" w:ascii="宋体" w:hAnsi="宋体"/>
          <w:szCs w:val="21"/>
        </w:rPr>
        <w:t>（15）其它招标文件要求的内容及投标人认为需要补充的内容（格式自定）</w:t>
      </w:r>
    </w:p>
    <w:p>
      <w:pPr>
        <w:pStyle w:val="2"/>
        <w:ind w:left="210" w:leftChars="100" w:firstLine="991" w:firstLineChars="472"/>
        <w:rPr>
          <w:rFonts w:ascii="宋体" w:hAnsi="宋体"/>
          <w:szCs w:val="21"/>
        </w:rPr>
      </w:pPr>
      <w:bookmarkStart w:id="103" w:name="_GoBack"/>
      <w:bookmarkEnd w:id="103"/>
      <w:r>
        <w:rPr>
          <w:rFonts w:hint="eastAsia" w:ascii="宋体" w:hAnsi="宋体"/>
          <w:szCs w:val="21"/>
        </w:rPr>
        <w:t>注：具体按评分信息设置标书节点</w:t>
      </w:r>
    </w:p>
    <w:p>
      <w:pPr>
        <w:pStyle w:val="2"/>
        <w:ind w:firstLine="424" w:firstLineChars="202"/>
        <w:rPr>
          <w:rFonts w:ascii="宋体" w:hAnsi="宋体"/>
          <w:szCs w:val="21"/>
        </w:rPr>
      </w:pPr>
    </w:p>
    <w:p>
      <w:pPr>
        <w:pStyle w:val="2"/>
        <w:ind w:firstLine="424" w:firstLineChars="202"/>
        <w:rPr>
          <w:rFonts w:ascii="宋体" w:hAnsi="宋体"/>
          <w:szCs w:val="21"/>
        </w:rPr>
      </w:pPr>
      <w:r>
        <w:rPr>
          <w:rFonts w:hint="eastAsia" w:ascii="宋体" w:hAnsi="宋体"/>
          <w:szCs w:val="21"/>
        </w:rPr>
        <w:t>2.投标文件附件</w:t>
      </w:r>
      <w:r>
        <w:rPr>
          <w:rFonts w:hint="eastAsia" w:ascii="宋体" w:hAnsi="宋体"/>
          <w:b/>
          <w:szCs w:val="21"/>
        </w:rPr>
        <w:t>（非信息公开部分）</w:t>
      </w:r>
      <w:r>
        <w:rPr>
          <w:rFonts w:hint="eastAsia" w:ascii="宋体" w:hAnsi="宋体"/>
          <w:szCs w:val="21"/>
        </w:rPr>
        <w:t>，主要包括以下内容：</w:t>
      </w:r>
    </w:p>
    <w:p>
      <w:pPr>
        <w:pStyle w:val="2"/>
        <w:ind w:left="210" w:leftChars="100" w:firstLine="781" w:firstLineChars="372"/>
        <w:rPr>
          <w:rFonts w:ascii="宋体" w:hAnsi="宋体"/>
          <w:szCs w:val="21"/>
        </w:rPr>
      </w:pPr>
      <w:r>
        <w:rPr>
          <w:rFonts w:hint="eastAsia" w:ascii="宋体" w:hAnsi="宋体"/>
          <w:szCs w:val="21"/>
        </w:rPr>
        <w:t>（1）</w:t>
      </w:r>
      <w:r>
        <w:rPr>
          <w:rFonts w:hint="eastAsia"/>
          <w:szCs w:val="21"/>
        </w:rPr>
        <w:t>法定代表人证明书</w:t>
      </w:r>
    </w:p>
    <w:p>
      <w:pPr>
        <w:pStyle w:val="2"/>
        <w:ind w:left="210" w:leftChars="100" w:firstLine="781" w:firstLineChars="372"/>
        <w:rPr>
          <w:rFonts w:ascii="宋体" w:hAnsi="宋体"/>
          <w:szCs w:val="21"/>
        </w:rPr>
      </w:pPr>
      <w:r>
        <w:rPr>
          <w:rFonts w:hint="eastAsia" w:ascii="宋体" w:hAnsi="宋体"/>
          <w:szCs w:val="21"/>
        </w:rPr>
        <w:t>（2）投标文件签署授权委托书</w:t>
      </w:r>
    </w:p>
    <w:p>
      <w:pPr>
        <w:pStyle w:val="2"/>
        <w:ind w:left="210" w:leftChars="100" w:firstLine="781" w:firstLineChars="372"/>
        <w:rPr>
          <w:rFonts w:ascii="宋体" w:hAnsi="宋体"/>
          <w:szCs w:val="21"/>
        </w:rPr>
      </w:pPr>
      <w:r>
        <w:rPr>
          <w:rFonts w:hint="eastAsia" w:ascii="宋体" w:hAnsi="宋体"/>
          <w:szCs w:val="21"/>
        </w:rPr>
        <w:t>（3）实质性条款响应情况表</w:t>
      </w:r>
    </w:p>
    <w:p>
      <w:pPr>
        <w:pStyle w:val="2"/>
        <w:ind w:left="210" w:leftChars="100" w:firstLine="781" w:firstLineChars="372"/>
        <w:rPr>
          <w:rFonts w:ascii="宋体" w:hAnsi="宋体"/>
          <w:szCs w:val="21"/>
        </w:rPr>
      </w:pPr>
      <w:r>
        <w:rPr>
          <w:rFonts w:hint="eastAsia" w:ascii="宋体" w:hAnsi="宋体"/>
          <w:szCs w:val="21"/>
        </w:rPr>
        <w:t>（4）详细分项报价清单</w:t>
      </w:r>
    </w:p>
    <w:p>
      <w:pPr>
        <w:pStyle w:val="2"/>
        <w:ind w:left="210" w:leftChars="100" w:firstLine="781" w:firstLineChars="372"/>
        <w:rPr>
          <w:rFonts w:ascii="宋体" w:hAnsi="宋体"/>
          <w:szCs w:val="21"/>
        </w:rPr>
      </w:pPr>
      <w:r>
        <w:rPr>
          <w:rFonts w:hint="eastAsia" w:ascii="宋体" w:hAnsi="宋体"/>
          <w:szCs w:val="21"/>
        </w:rPr>
        <w:t>（5）实施方案（工作措施、工作方法、工作手段、工作流程）（格式自定）</w:t>
      </w:r>
    </w:p>
    <w:p>
      <w:pPr>
        <w:pStyle w:val="2"/>
        <w:ind w:left="210" w:leftChars="100" w:firstLine="781" w:firstLineChars="372"/>
        <w:rPr>
          <w:rFonts w:ascii="宋体" w:hAnsi="宋体"/>
          <w:szCs w:val="21"/>
        </w:rPr>
      </w:pPr>
      <w:r>
        <w:rPr>
          <w:rFonts w:hint="eastAsia" w:ascii="宋体" w:hAnsi="宋体"/>
          <w:szCs w:val="21"/>
        </w:rPr>
        <w:t>（6）项目重点难点分析、应对措施及相关的合理化建议（格式自定）</w:t>
      </w:r>
    </w:p>
    <w:p>
      <w:pPr>
        <w:pStyle w:val="2"/>
        <w:ind w:left="210" w:leftChars="100" w:firstLine="781" w:firstLineChars="372"/>
        <w:rPr>
          <w:rFonts w:ascii="宋体" w:hAnsi="宋体"/>
          <w:szCs w:val="21"/>
        </w:rPr>
      </w:pPr>
      <w:r>
        <w:rPr>
          <w:rFonts w:hint="eastAsia" w:ascii="宋体" w:hAnsi="宋体"/>
          <w:szCs w:val="21"/>
        </w:rPr>
        <w:t>（7）质量（完成时间、安全、环保）保障措施及方案（格式自定）</w:t>
      </w:r>
    </w:p>
    <w:p>
      <w:pPr>
        <w:pStyle w:val="2"/>
        <w:ind w:left="210" w:leftChars="100" w:firstLine="781" w:firstLineChars="372"/>
        <w:rPr>
          <w:rFonts w:ascii="宋体" w:hAnsi="宋体"/>
          <w:szCs w:val="21"/>
        </w:rPr>
      </w:pPr>
      <w:r>
        <w:rPr>
          <w:rFonts w:hint="eastAsia" w:ascii="宋体" w:hAnsi="宋体"/>
          <w:szCs w:val="21"/>
        </w:rPr>
        <w:t>（8）项目完成（服务期满）后的服务承诺（格式自定）</w:t>
      </w:r>
    </w:p>
    <w:p>
      <w:pPr>
        <w:pStyle w:val="2"/>
        <w:ind w:left="210" w:leftChars="100" w:firstLine="781" w:firstLineChars="372"/>
        <w:rPr>
          <w:rFonts w:ascii="宋体" w:hAnsi="宋体"/>
          <w:szCs w:val="21"/>
        </w:rPr>
      </w:pPr>
      <w:r>
        <w:rPr>
          <w:rFonts w:hint="eastAsia" w:ascii="宋体" w:hAnsi="宋体"/>
          <w:szCs w:val="21"/>
        </w:rPr>
        <w:t>（9）违约承诺（格式自定）</w:t>
      </w:r>
    </w:p>
    <w:p>
      <w:pPr>
        <w:rPr>
          <w:rFonts w:ascii="仿宋_GB2312" w:eastAsia="仿宋_GB2312"/>
          <w:sz w:val="24"/>
        </w:rPr>
      </w:pPr>
    </w:p>
    <w:p>
      <w:pPr>
        <w:ind w:firstLine="424" w:firstLineChars="202"/>
        <w:rPr>
          <w:rFonts w:ascii="宋体" w:hAnsi="宋体"/>
          <w:szCs w:val="21"/>
        </w:rPr>
      </w:pPr>
      <w:r>
        <w:rPr>
          <w:rFonts w:hint="eastAsia" w:ascii="宋体" w:hAnsi="宋体"/>
          <w:szCs w:val="21"/>
        </w:rPr>
        <w:t>备注：</w:t>
      </w:r>
    </w:p>
    <w:p>
      <w:pPr>
        <w:ind w:firstLine="424" w:firstLineChars="202"/>
        <w:rPr>
          <w:rFonts w:ascii="宋体" w:hAnsi="宋体"/>
          <w:szCs w:val="21"/>
        </w:rPr>
      </w:pPr>
      <w:r>
        <w:rPr>
          <w:rFonts w:hint="eastAsia" w:ascii="宋体" w:hAnsi="宋体"/>
          <w:szCs w:val="21"/>
        </w:rPr>
        <w:t>1.本项目为网上电子投标项目，投标文件不需法人或授权委托人另行签字，无需加盖单位公章，招标文件专用条款另有规定的除外。</w:t>
      </w:r>
    </w:p>
    <w:p>
      <w:pPr>
        <w:ind w:firstLine="426" w:firstLineChars="202"/>
        <w:rPr>
          <w:rFonts w:ascii="宋体" w:hAnsi="宋体"/>
          <w:b/>
          <w:szCs w:val="21"/>
        </w:rPr>
      </w:pPr>
      <w:r>
        <w:rPr>
          <w:rFonts w:hint="eastAsia" w:ascii="宋体" w:hAnsi="宋体"/>
          <w:b/>
          <w:szCs w:val="21"/>
        </w:rPr>
        <w:t>2.关于“开标一览表”的评标说明：“开标一览表”中除“投标总价”外，其他信息不作评审依据。</w:t>
      </w:r>
    </w:p>
    <w:p>
      <w:pPr>
        <w:ind w:firstLine="426" w:firstLineChars="202"/>
        <w:rPr>
          <w:rFonts w:ascii="宋体" w:hAnsi="宋体"/>
          <w:b/>
          <w:szCs w:val="21"/>
        </w:rPr>
      </w:pPr>
      <w:r>
        <w:rPr>
          <w:rFonts w:hint="eastAsia" w:ascii="宋体" w:hAnsi="宋体"/>
          <w:b/>
          <w:szCs w:val="21"/>
        </w:rPr>
        <w:t>3.关于投标书编制软件中“开标一览表”的填写说明：“开标一览表”中“完工期”一栏的填写内容不作任何要求，由投标人自行填写。</w:t>
      </w:r>
    </w:p>
    <w:p>
      <w:pPr>
        <w:widowControl/>
        <w:jc w:val="left"/>
        <w:rPr>
          <w:rFonts w:ascii="宋体" w:hAnsi="宋体"/>
          <w:b/>
          <w:szCs w:val="21"/>
        </w:rPr>
      </w:pPr>
      <w:r>
        <w:rPr>
          <w:rFonts w:ascii="宋体" w:hAnsi="宋体"/>
          <w:b/>
          <w:szCs w:val="21"/>
        </w:rPr>
        <w:br w:type="page"/>
      </w:r>
    </w:p>
    <w:p>
      <w:pPr>
        <w:jc w:val="center"/>
        <w:outlineLvl w:val="1"/>
        <w:rPr>
          <w:rFonts w:ascii="宋体" w:hAnsi="宋体"/>
          <w:b/>
          <w:color w:val="FF0000"/>
          <w:sz w:val="36"/>
          <w:szCs w:val="36"/>
        </w:rPr>
      </w:pPr>
      <w:r>
        <w:rPr>
          <w:rFonts w:hint="eastAsia" w:ascii="宋体" w:hAnsi="宋体"/>
          <w:b/>
          <w:color w:val="FF0000"/>
          <w:sz w:val="36"/>
          <w:szCs w:val="36"/>
        </w:rPr>
        <w:t>温馨提示</w:t>
      </w:r>
    </w:p>
    <w:p>
      <w:pPr>
        <w:jc w:val="center"/>
        <w:outlineLvl w:val="1"/>
        <w:rPr>
          <w:rFonts w:ascii="宋体" w:hAnsi="宋体"/>
          <w:b/>
          <w:color w:val="FF0000"/>
          <w:sz w:val="28"/>
          <w:szCs w:val="28"/>
        </w:rPr>
      </w:pPr>
    </w:p>
    <w:p>
      <w:pPr>
        <w:ind w:firstLine="560" w:firstLineChars="200"/>
        <w:rPr>
          <w:rFonts w:ascii="华文仿宋" w:hAnsi="华文仿宋" w:eastAsia="华文仿宋"/>
          <w:color w:val="FF0000"/>
          <w:kern w:val="0"/>
          <w:sz w:val="28"/>
          <w:szCs w:val="28"/>
        </w:rPr>
      </w:pPr>
      <w:r>
        <w:rPr>
          <w:rFonts w:hint="eastAsia" w:ascii="华文仿宋" w:hAnsi="华文仿宋" w:eastAsia="华文仿宋"/>
          <w:color w:val="FF0000"/>
          <w:kern w:val="0"/>
          <w:sz w:val="28"/>
          <w:szCs w:val="28"/>
        </w:rPr>
        <w:t>投标文件中存在以下情况的，将会导致投标无效：</w:t>
      </w:r>
    </w:p>
    <w:p>
      <w:pPr>
        <w:ind w:firstLine="560" w:firstLineChars="200"/>
        <w:rPr>
          <w:rFonts w:ascii="华文仿宋" w:hAnsi="华文仿宋" w:eastAsia="华文仿宋"/>
          <w:color w:val="FF0000"/>
          <w:kern w:val="0"/>
          <w:sz w:val="28"/>
          <w:szCs w:val="28"/>
        </w:rPr>
      </w:pPr>
      <w:r>
        <w:rPr>
          <w:rFonts w:hint="eastAsia" w:ascii="华文仿宋" w:hAnsi="华文仿宋" w:eastAsia="华文仿宋"/>
          <w:color w:val="FF0000"/>
          <w:kern w:val="0"/>
          <w:sz w:val="28"/>
          <w:szCs w:val="28"/>
        </w:rPr>
        <w:t>1.未按投标人资格要求提供有效的营业执照或事业单位法人证扫描件、《政府采购投标及履约承诺函》声明等证明文件；</w:t>
      </w:r>
    </w:p>
    <w:p>
      <w:pPr>
        <w:ind w:firstLine="560" w:firstLineChars="200"/>
        <w:rPr>
          <w:rFonts w:ascii="华文仿宋" w:hAnsi="华文仿宋" w:eastAsia="华文仿宋"/>
          <w:color w:val="FF0000"/>
          <w:kern w:val="0"/>
          <w:sz w:val="28"/>
          <w:szCs w:val="28"/>
        </w:rPr>
      </w:pPr>
      <w:r>
        <w:rPr>
          <w:rFonts w:hint="eastAsia" w:ascii="华文仿宋" w:hAnsi="华文仿宋" w:eastAsia="华文仿宋"/>
          <w:color w:val="FF0000"/>
          <w:kern w:val="0"/>
          <w:sz w:val="28"/>
          <w:szCs w:val="28"/>
        </w:rPr>
        <w:t>2.投标报价不符合要求，包括但不限于：投标总价或项目报价表中单个采购预算条目报价超过对应的财政预算限额、投标文件报价出现前后不一致且按照法定程序进行修正后投标人不确认的；</w:t>
      </w:r>
    </w:p>
    <w:p>
      <w:pPr>
        <w:ind w:firstLine="560" w:firstLineChars="200"/>
        <w:rPr>
          <w:rFonts w:ascii="华文仿宋" w:hAnsi="华文仿宋" w:eastAsia="华文仿宋"/>
          <w:color w:val="FF0000"/>
          <w:kern w:val="0"/>
          <w:sz w:val="28"/>
          <w:szCs w:val="28"/>
        </w:rPr>
      </w:pPr>
      <w:r>
        <w:rPr>
          <w:rFonts w:hint="eastAsia" w:ascii="华文仿宋" w:hAnsi="华文仿宋" w:eastAsia="华文仿宋"/>
          <w:color w:val="FF0000"/>
          <w:kern w:val="0"/>
          <w:sz w:val="28"/>
          <w:szCs w:val="28"/>
        </w:rPr>
        <w:t>3. 未对实质性条款响应情况表进行响应；</w:t>
      </w:r>
    </w:p>
    <w:p>
      <w:pPr>
        <w:ind w:firstLine="560" w:firstLineChars="200"/>
        <w:rPr>
          <w:rFonts w:ascii="华文仿宋" w:hAnsi="华文仿宋" w:eastAsia="华文仿宋"/>
          <w:color w:val="FF0000"/>
          <w:kern w:val="0"/>
          <w:sz w:val="28"/>
          <w:szCs w:val="28"/>
        </w:rPr>
      </w:pPr>
      <w:r>
        <w:rPr>
          <w:rFonts w:hint="eastAsia" w:ascii="华文仿宋" w:hAnsi="华文仿宋" w:eastAsia="华文仿宋"/>
          <w:color w:val="FF0000"/>
          <w:kern w:val="0"/>
          <w:sz w:val="28"/>
          <w:szCs w:val="28"/>
        </w:rPr>
        <w:t xml:space="preserve">4. 投标文件正文（信息公开部分）内容缺漏，包括但不限于：《投标函》中未填写项目编号或名称、《政府采购投标及履约承诺函》未署名投标人名称； </w:t>
      </w:r>
    </w:p>
    <w:p>
      <w:pPr>
        <w:ind w:firstLine="560" w:firstLineChars="200"/>
        <w:rPr>
          <w:rFonts w:ascii="华文仿宋" w:hAnsi="华文仿宋" w:eastAsia="华文仿宋"/>
          <w:color w:val="FF0000"/>
          <w:kern w:val="0"/>
          <w:sz w:val="28"/>
          <w:szCs w:val="28"/>
        </w:rPr>
      </w:pPr>
      <w:r>
        <w:rPr>
          <w:rFonts w:hint="eastAsia" w:ascii="华文仿宋" w:hAnsi="华文仿宋" w:eastAsia="华文仿宋"/>
          <w:color w:val="FF0000"/>
          <w:kern w:val="0"/>
          <w:sz w:val="28"/>
          <w:szCs w:val="28"/>
        </w:rPr>
        <w:t>5. 投标文件附件（信息不公开部分）内容缺漏，包括但不限于：未提供完整的法定代表人证明书（含法定代表人身份证正反两面扫描件）、投标文件签署授权委托书（含授权委托代理人身份证正反两面扫描件）；</w:t>
      </w:r>
    </w:p>
    <w:p>
      <w:pPr>
        <w:ind w:firstLine="565" w:firstLineChars="202"/>
        <w:rPr>
          <w:rFonts w:ascii="华文仿宋" w:hAnsi="华文仿宋" w:eastAsia="华文仿宋"/>
          <w:color w:val="FF0000"/>
          <w:kern w:val="0"/>
          <w:sz w:val="28"/>
          <w:szCs w:val="28"/>
        </w:rPr>
      </w:pPr>
      <w:r>
        <w:rPr>
          <w:rFonts w:hint="eastAsia" w:ascii="华文仿宋" w:hAnsi="华文仿宋" w:eastAsia="华文仿宋"/>
          <w:color w:val="FF0000"/>
          <w:kern w:val="0"/>
          <w:sz w:val="28"/>
          <w:szCs w:val="28"/>
        </w:rPr>
        <w:t>6.投标文件正文（信息公开部分）内容未放置于投标文件信息公开部分。</w:t>
      </w:r>
    </w:p>
    <w:p>
      <w:pPr>
        <w:widowControl/>
        <w:jc w:val="left"/>
        <w:rPr>
          <w:rFonts w:ascii="华文仿宋" w:hAnsi="华文仿宋" w:eastAsia="华文仿宋"/>
          <w:color w:val="FF0000"/>
          <w:kern w:val="0"/>
          <w:sz w:val="28"/>
          <w:szCs w:val="28"/>
        </w:rPr>
      </w:pPr>
      <w:r>
        <w:rPr>
          <w:rFonts w:ascii="华文仿宋" w:hAnsi="华文仿宋" w:eastAsia="华文仿宋"/>
          <w:color w:val="FF0000"/>
          <w:kern w:val="0"/>
          <w:sz w:val="28"/>
          <w:szCs w:val="28"/>
        </w:rPr>
        <w:br w:type="page"/>
      </w:r>
    </w:p>
    <w:p>
      <w:pPr>
        <w:rPr>
          <w:rFonts w:ascii="仿宋_GB2312" w:eastAsia="仿宋_GB2312"/>
          <w:b/>
          <w:sz w:val="30"/>
          <w:szCs w:val="30"/>
        </w:rPr>
      </w:pPr>
      <w:r>
        <w:rPr>
          <w:rFonts w:hint="eastAsia" w:ascii="仿宋_GB2312" w:eastAsia="仿宋_GB2312"/>
          <w:b/>
          <w:sz w:val="30"/>
          <w:szCs w:val="30"/>
        </w:rPr>
        <w:t>投标文件正文（信息公开部分）：</w:t>
      </w:r>
    </w:p>
    <w:p>
      <w:pPr>
        <w:pStyle w:val="4"/>
        <w:jc w:val="center"/>
        <w:rPr>
          <w:rFonts w:ascii="黑体" w:eastAsia="黑体"/>
          <w:kern w:val="0"/>
          <w:sz w:val="24"/>
        </w:rPr>
      </w:pPr>
      <w:r>
        <w:rPr>
          <w:rFonts w:hint="eastAsia" w:ascii="黑体" w:eastAsia="黑体"/>
          <w:kern w:val="0"/>
          <w:sz w:val="24"/>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三方诚信招标有限公司  </w:t>
      </w:r>
    </w:p>
    <w:p>
      <w:pPr>
        <w:spacing w:afterLines="50"/>
        <w:ind w:firstLine="420" w:firstLineChars="200"/>
        <w:rPr>
          <w:szCs w:val="21"/>
        </w:rPr>
      </w:pPr>
      <w:r>
        <w:rPr>
          <w:rFonts w:hint="eastAsia"/>
          <w:szCs w:val="21"/>
        </w:rPr>
        <w:t>1.根据已收到贵方的项目编号为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szCs w:val="21"/>
        </w:rPr>
      </w:pPr>
      <w:r>
        <w:rPr>
          <w:rFonts w:hint="eastAsia"/>
          <w:szCs w:val="21"/>
        </w:rPr>
        <w:t>3.如果我方中标，我方将按照规定提交上述总价</w:t>
      </w:r>
      <w:r>
        <w:rPr>
          <w:rFonts w:hint="eastAsia"/>
          <w:szCs w:val="21"/>
          <w:u w:val="single"/>
        </w:rPr>
        <w:t xml:space="preserve">      </w:t>
      </w:r>
      <w:r>
        <w:rPr>
          <w:rFonts w:hint="eastAsia"/>
          <w:szCs w:val="21"/>
        </w:rPr>
        <w:t>％（或</w:t>
      </w:r>
      <w:r>
        <w:rPr>
          <w:rFonts w:hint="eastAsia"/>
          <w:szCs w:val="21"/>
          <w:u w:val="single"/>
        </w:rPr>
        <w:t xml:space="preserve">   </w:t>
      </w:r>
      <w:r>
        <w:rPr>
          <w:rFonts w:hint="eastAsia"/>
          <w:szCs w:val="21"/>
        </w:rPr>
        <w:t>万元）作为履约担保（可提供保函或现金）。</w:t>
      </w:r>
    </w:p>
    <w:p>
      <w:pPr>
        <w:spacing w:afterLines="50"/>
        <w:ind w:firstLine="411" w:firstLineChars="196"/>
        <w:rPr>
          <w:rFonts w:ascii="宋体" w:hAnsi="宋体"/>
          <w:szCs w:val="21"/>
        </w:rPr>
      </w:pPr>
      <w:r>
        <w:rPr>
          <w:rFonts w:hint="eastAsia" w:ascii="宋体" w:hAnsi="宋体"/>
          <w:szCs w:val="21"/>
        </w:rPr>
        <w:t>4.我方同意所递交的投标文件在“对通用条款的补充内容”中的投标有效期内有效，在此期间内我方的投标有可能中标，我方将受此约束。</w:t>
      </w:r>
    </w:p>
    <w:p>
      <w:pPr>
        <w:spacing w:afterLines="50"/>
        <w:ind w:firstLine="411" w:firstLineChars="196"/>
        <w:rPr>
          <w:rFonts w:ascii="宋体" w:hAnsi="宋体"/>
          <w:szCs w:val="21"/>
        </w:rPr>
      </w:pPr>
      <w:r>
        <w:rPr>
          <w:rFonts w:hint="eastAsia" w:ascii="宋体" w:hAnsi="宋体"/>
          <w:szCs w:val="21"/>
        </w:rPr>
        <w:t>5.除非另外达成协议并生效，贵方的中标通知书和本投标文件将构成约束我们双方的合同。</w:t>
      </w:r>
    </w:p>
    <w:p>
      <w:pPr>
        <w:spacing w:afterLines="50"/>
        <w:ind w:firstLine="411" w:firstLineChars="196"/>
        <w:rPr>
          <w:rFonts w:ascii="宋体" w:hAnsi="宋体"/>
          <w:szCs w:val="21"/>
        </w:rPr>
      </w:pPr>
      <w:r>
        <w:rPr>
          <w:rFonts w:hint="eastAsia" w:ascii="宋体" w:hAnsi="宋体"/>
          <w:szCs w:val="21"/>
        </w:rPr>
        <w:t>6.我方理解贵方将不受必须接受你们所收到的最低标价或其它任何投标文件的约束。</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spacing w:afterLines="50"/>
        <w:ind w:firstLine="411" w:firstLineChars="196"/>
        <w:rPr>
          <w:rFonts w:ascii="宋体" w:hAnsi="宋体"/>
          <w:szCs w:val="21"/>
        </w:rPr>
      </w:pPr>
    </w:p>
    <w:p>
      <w:pPr>
        <w:rPr>
          <w:rFonts w:ascii="宋体" w:hAnsi="宋体"/>
          <w:szCs w:val="21"/>
        </w:rPr>
      </w:pPr>
      <w:r>
        <w:rPr>
          <w:rFonts w:hint="eastAsia"/>
          <w:szCs w:val="21"/>
          <w:u w:val="single"/>
        </w:rPr>
        <w:t>（备注：如联合体投标，投标人一栏仅需填写牵头人的名称）</w:t>
      </w:r>
    </w:p>
    <w:p>
      <w:pPr>
        <w:pStyle w:val="4"/>
        <w:jc w:val="center"/>
        <w:rPr>
          <w:sz w:val="24"/>
        </w:rPr>
      </w:pPr>
      <w:r>
        <w:rPr>
          <w:rFonts w:hint="eastAsia" w:ascii="黑体" w:eastAsia="黑体"/>
          <w:kern w:val="0"/>
          <w:sz w:val="24"/>
        </w:rPr>
        <w:t>二、政府采购投标及履约承诺函</w:t>
      </w:r>
    </w:p>
    <w:p>
      <w:pPr>
        <w:rPr>
          <w:rFonts w:ascii="宋体" w:hAnsi="宋体"/>
          <w:szCs w:val="21"/>
        </w:rPr>
      </w:pPr>
      <w:r>
        <w:rPr>
          <w:rFonts w:hint="eastAsia" w:ascii="宋体" w:hAnsi="宋体"/>
          <w:szCs w:val="21"/>
        </w:rPr>
        <w:t>致：三方诚信招标有限公司</w:t>
      </w:r>
    </w:p>
    <w:p>
      <w:pPr>
        <w:ind w:right="-815" w:firstLine="420" w:firstLineChars="200"/>
        <w:rPr>
          <w:rFonts w:ascii="宋体" w:hAnsi="宋体"/>
          <w:szCs w:val="21"/>
        </w:rPr>
      </w:pPr>
      <w:r>
        <w:rPr>
          <w:rFonts w:hint="eastAsia" w:ascii="宋体" w:hAnsi="宋体"/>
          <w:szCs w:val="21"/>
        </w:rPr>
        <w:t>我公司承诺：</w:t>
      </w:r>
    </w:p>
    <w:p>
      <w:pPr>
        <w:ind w:firstLine="420" w:firstLineChars="200"/>
        <w:rPr>
          <w:rFonts w:ascii="宋体" w:hAnsi="宋体"/>
          <w:szCs w:val="21"/>
        </w:rPr>
      </w:pPr>
      <w:r>
        <w:rPr>
          <w:rFonts w:hint="eastAsia" w:ascii="宋体" w:hAnsi="宋体"/>
          <w:szCs w:val="21"/>
        </w:rPr>
        <w:t>1.我公司本招标项目所提供的货物或服务未侵犯知识产权。</w:t>
      </w:r>
    </w:p>
    <w:p>
      <w:pPr>
        <w:ind w:firstLine="420" w:firstLineChars="200"/>
        <w:rPr>
          <w:rFonts w:ascii="宋体" w:hAnsi="宋体"/>
          <w:szCs w:val="21"/>
        </w:rPr>
      </w:pPr>
      <w:r>
        <w:rPr>
          <w:rFonts w:hint="eastAsia" w:ascii="宋体" w:hAnsi="宋体"/>
          <w:szCs w:val="21"/>
        </w:rPr>
        <w:t>2.我公司参与本项目投标前三年内，在经营活动中没有重大违法记录。</w:t>
      </w:r>
    </w:p>
    <w:p>
      <w:pPr>
        <w:ind w:firstLine="420" w:firstLineChars="200"/>
        <w:rPr>
          <w:rFonts w:ascii="宋体" w:hAnsi="宋体"/>
          <w:szCs w:val="21"/>
        </w:rPr>
      </w:pPr>
      <w:r>
        <w:rPr>
          <w:rFonts w:hint="eastAsia" w:ascii="宋体" w:hAnsi="宋体"/>
          <w:szCs w:val="21"/>
        </w:rPr>
        <w:t>3.我公司参与本项目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4.我公司具备《中华人民共和国政府采购法》第二十二条第一款规定的六项条件。</w:t>
      </w:r>
    </w:p>
    <w:p>
      <w:pPr>
        <w:ind w:firstLine="420" w:firstLineChars="200"/>
        <w:rPr>
          <w:rFonts w:ascii="宋体" w:hAnsi="宋体"/>
          <w:szCs w:val="21"/>
        </w:rPr>
      </w:pPr>
      <w:r>
        <w:rPr>
          <w:rFonts w:hint="eastAsia" w:ascii="宋体" w:hAnsi="宋体"/>
          <w:szCs w:val="21"/>
        </w:rPr>
        <w:t>5.我公司</w:t>
      </w:r>
      <w:r>
        <w:rPr>
          <w:rFonts w:hint="eastAsia"/>
        </w:rPr>
        <w:t>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6.我公司参与该项目投标，严格遵循公平竞争的原则，不恶意串通，不妨碍其他投标人的竞争行为，不损害采购人或者其他投标人的合法权益。我公司已清楚，如违反上述要求，将作投标无效处理。</w:t>
      </w:r>
    </w:p>
    <w:p>
      <w:pPr>
        <w:ind w:firstLine="420" w:firstLineChars="200"/>
        <w:rPr>
          <w:rFonts w:ascii="宋体" w:hAnsi="宋体"/>
          <w:szCs w:val="21"/>
        </w:rPr>
      </w:pPr>
      <w:r>
        <w:rPr>
          <w:rFonts w:hint="eastAsia" w:ascii="宋体" w:hAnsi="宋体"/>
          <w:szCs w:val="21"/>
        </w:rPr>
        <w:t>7.我公司如果中标，做到守信，不偷工减料，依照本项目招标文件需求内容、签署的采购合同及本公司在投标中所作的一切承诺履约。</w:t>
      </w:r>
    </w:p>
    <w:p>
      <w:pPr>
        <w:ind w:firstLine="420" w:firstLineChars="200"/>
        <w:rPr>
          <w:rFonts w:ascii="宋体" w:hAnsi="宋体"/>
          <w:szCs w:val="21"/>
        </w:rPr>
      </w:pPr>
      <w:r>
        <w:rPr>
          <w:rFonts w:hint="eastAsia" w:ascii="宋体" w:hAnsi="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20" w:firstLineChars="200"/>
        <w:rPr>
          <w:rFonts w:ascii="宋体" w:hAnsi="宋体"/>
          <w:szCs w:val="21"/>
        </w:rPr>
      </w:pPr>
      <w:r>
        <w:rPr>
          <w:rFonts w:hint="eastAsia" w:ascii="宋体" w:hAnsi="宋体"/>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20" w:firstLineChars="200"/>
        <w:rPr>
          <w:rFonts w:ascii="宋体" w:hAnsi="宋体"/>
          <w:szCs w:val="21"/>
        </w:rPr>
      </w:pPr>
      <w:r>
        <w:rPr>
          <w:rFonts w:hint="eastAsia" w:ascii="宋体" w:hAnsi="宋体"/>
          <w:szCs w:val="21"/>
        </w:rPr>
        <w:t>10.我公司承诺不非法转包、分包。</w:t>
      </w:r>
    </w:p>
    <w:p>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rPr>
          <w:szCs w:val="21"/>
        </w:rPr>
      </w:pPr>
      <w:r>
        <w:rPr>
          <w:rFonts w:hint="eastAsia"/>
          <w:szCs w:val="21"/>
        </w:rPr>
        <w:t xml:space="preserve">                                                 </w:t>
      </w:r>
    </w:p>
    <w:p>
      <w:r>
        <w:rPr>
          <w:rFonts w:hint="eastAsia"/>
          <w:szCs w:val="21"/>
        </w:rPr>
        <w:t xml:space="preserve">                                                      投标人：</w:t>
      </w:r>
      <w:r>
        <w:rPr>
          <w:rFonts w:hint="eastAsia"/>
          <w:szCs w:val="21"/>
          <w:u w:val="single"/>
        </w:rPr>
        <w:t xml:space="preserve">          </w:t>
      </w:r>
    </w:p>
    <w:p>
      <w:pPr>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szCs w:val="21"/>
          <w:u w:val="single"/>
        </w:rPr>
      </w:pPr>
    </w:p>
    <w:p>
      <w:pPr>
        <w:rPr>
          <w:rFonts w:ascii="宋体" w:hAnsi="宋体"/>
          <w:szCs w:val="21"/>
        </w:rPr>
      </w:pPr>
      <w:r>
        <w:rPr>
          <w:rFonts w:hint="eastAsia"/>
          <w:szCs w:val="21"/>
          <w:u w:val="single"/>
        </w:rPr>
        <w:t>（备注：如联合体投标，投标人一栏需填写联合体双方的名称）</w:t>
      </w:r>
    </w:p>
    <w:p>
      <w:pPr>
        <w:rPr>
          <w:rFonts w:ascii="宋体" w:hAnsi="宋体"/>
          <w:szCs w:val="21"/>
        </w:rPr>
      </w:pPr>
    </w:p>
    <w:p/>
    <w:p/>
    <w:p>
      <w:pPr>
        <w:pStyle w:val="4"/>
        <w:spacing w:before="120" w:after="120"/>
        <w:jc w:val="center"/>
        <w:rPr>
          <w:rFonts w:ascii="黑体" w:eastAsia="黑体"/>
          <w:kern w:val="0"/>
          <w:sz w:val="24"/>
        </w:rPr>
      </w:pPr>
      <w:r>
        <w:rPr>
          <w:rFonts w:hint="eastAsia" w:ascii="黑体" w:eastAsia="黑体"/>
          <w:kern w:val="0"/>
          <w:sz w:val="24"/>
        </w:rPr>
        <w:t>三、投标人情况介绍及资格要求</w:t>
      </w:r>
    </w:p>
    <w:p>
      <w:pPr>
        <w:ind w:left="632" w:hanging="632" w:hangingChars="300"/>
        <w:rPr>
          <w:b/>
          <w:bCs/>
        </w:rPr>
      </w:pPr>
      <w:r>
        <w:rPr>
          <w:rFonts w:hint="eastAsia"/>
          <w:b/>
          <w:bCs/>
        </w:rPr>
        <w:t>1. 投标人情况介绍：</w:t>
      </w:r>
    </w:p>
    <w:p>
      <w:pPr>
        <w:ind w:left="632" w:hanging="632" w:hangingChars="300"/>
        <w:rPr>
          <w:b/>
          <w:bCs/>
        </w:rPr>
      </w:pPr>
    </w:p>
    <w:p>
      <w:pPr>
        <w:ind w:left="632" w:hanging="632" w:hangingChars="300"/>
        <w:rPr>
          <w:b/>
          <w:bCs/>
        </w:rPr>
      </w:pPr>
      <w:r>
        <w:rPr>
          <w:rFonts w:hint="eastAsia"/>
          <w:b/>
          <w:bCs/>
        </w:rPr>
        <w:t>2.资格证明材料：</w:t>
      </w:r>
    </w:p>
    <w:p>
      <w:pPr>
        <w:ind w:left="632" w:hanging="632" w:hangingChars="300"/>
        <w:rPr>
          <w:b/>
          <w:bCs/>
        </w:rPr>
      </w:pPr>
      <w:r>
        <w:rPr>
          <w:rFonts w:hint="eastAsia"/>
          <w:b/>
          <w:bCs/>
        </w:rPr>
        <w:t>注意：资格证明材料必须至少包含招标公告中“投标人资格要求”中的相关证明材料（均要求提供证明材料扫描件，原件备查）。</w:t>
      </w:r>
    </w:p>
    <w:p>
      <w:pPr>
        <w:rPr>
          <w:b/>
        </w:rPr>
      </w:pPr>
      <w:r>
        <w:rPr>
          <w:rFonts w:hint="eastAsia"/>
          <w:b/>
        </w:rPr>
        <w:t>承诺函：信誉良好，未被国家住房与城乡建设部等有关部委及有关省市其中之一明令取消投标资格，且2011年1月1日以来承担的项目未发生质量事故和不存在与采购人有尚未解决的法律纠纷</w:t>
      </w:r>
    </w:p>
    <w:p>
      <w:pPr>
        <w:ind w:left="632" w:hanging="632" w:hangingChars="300"/>
        <w:rPr>
          <w:b/>
          <w:bCs/>
        </w:rPr>
      </w:pPr>
    </w:p>
    <w:p>
      <w:pPr>
        <w:ind w:left="632" w:hanging="632" w:hangingChars="300"/>
        <w:rPr>
          <w:b/>
          <w:bCs/>
        </w:rPr>
      </w:pPr>
      <w:r>
        <w:rPr>
          <w:rFonts w:hint="eastAsia"/>
          <w:b/>
          <w:bCs/>
        </w:rPr>
        <w:t>3.如联合体投标，投标人还必须提供《联合体投标协议》</w:t>
      </w:r>
      <w:r>
        <w:rPr>
          <w:rFonts w:hint="eastAsia" w:ascii="黑体" w:hAnsi="宋体" w:eastAsia="黑体"/>
          <w:bCs/>
          <w:kern w:val="0"/>
          <w:sz w:val="24"/>
          <w:szCs w:val="32"/>
        </w:rPr>
        <w:t>(可选项)</w:t>
      </w:r>
      <w:r>
        <w:rPr>
          <w:rFonts w:hint="eastAsia"/>
          <w:b/>
          <w:bCs/>
        </w:rPr>
        <w:t>。</w:t>
      </w:r>
    </w:p>
    <w:p>
      <w:pPr>
        <w:rPr>
          <w:b/>
          <w:bCs/>
        </w:rPr>
      </w:pPr>
    </w:p>
    <w:p>
      <w:pPr>
        <w:outlineLvl w:val="3"/>
        <w:rPr>
          <w:rFonts w:ascii="黑体" w:hAnsi="宋体" w:eastAsia="黑体"/>
          <w:bCs/>
          <w:kern w:val="0"/>
          <w:sz w:val="24"/>
          <w:szCs w:val="32"/>
        </w:rPr>
      </w:pPr>
      <w:r>
        <w:rPr>
          <w:rFonts w:hint="eastAsia" w:ascii="黑体" w:hAnsi="宋体" w:eastAsia="黑体"/>
          <w:bCs/>
          <w:kern w:val="0"/>
          <w:sz w:val="24"/>
          <w:szCs w:val="32"/>
        </w:rPr>
        <w:t>4、</w:t>
      </w:r>
      <w:r>
        <w:rPr>
          <w:rFonts w:hint="eastAsia"/>
          <w:b/>
          <w:bCs/>
        </w:rPr>
        <w:t>如投标人为中小微企业或残疾人福利性单位投标，投标人可提供中小企业声明函及残疾人福利性单位声明函（或省级以上监狱管理局、戒毒管理局（含新疆生产建设兵团）出具的属于监狱企业的证明文件）</w:t>
      </w:r>
      <w:r>
        <w:rPr>
          <w:rFonts w:hint="eastAsia" w:ascii="黑体" w:hAnsi="宋体" w:eastAsia="黑体"/>
          <w:bCs/>
          <w:kern w:val="0"/>
          <w:sz w:val="24"/>
          <w:szCs w:val="32"/>
        </w:rPr>
        <w:t>(可选项)</w:t>
      </w:r>
    </w:p>
    <w:p>
      <w:pPr>
        <w:jc w:val="left"/>
        <w:outlineLvl w:val="3"/>
        <w:rPr>
          <w:rFonts w:ascii="黑体" w:hAnsi="宋体" w:eastAsia="黑体"/>
          <w:bCs/>
          <w:kern w:val="0"/>
          <w:sz w:val="24"/>
          <w:szCs w:val="32"/>
        </w:rPr>
      </w:pPr>
    </w:p>
    <w:p>
      <w:pPr>
        <w:jc w:val="left"/>
        <w:outlineLvl w:val="3"/>
        <w:rPr>
          <w:rFonts w:ascii="黑体" w:hAnsi="宋体" w:eastAsia="黑体"/>
          <w:b/>
          <w:bCs/>
          <w:kern w:val="0"/>
          <w:szCs w:val="21"/>
        </w:rPr>
      </w:pPr>
      <w:r>
        <w:rPr>
          <w:rFonts w:hint="eastAsia" w:ascii="黑体" w:hAnsi="宋体" w:eastAsia="黑体"/>
          <w:bCs/>
          <w:kern w:val="0"/>
          <w:szCs w:val="21"/>
        </w:rPr>
        <w:t>备注：该部分内容由供应商根据自身情况填写相关声明，不符合要求的供应商可以不填写或删除相应的声明函。</w:t>
      </w:r>
      <w:r>
        <w:rPr>
          <w:rFonts w:hint="eastAsia" w:ascii="黑体" w:hAnsi="黑体" w:eastAsia="黑体"/>
          <w:szCs w:val="21"/>
        </w:rPr>
        <w:t>投标人对声明函的真实性负责。如提供虚假声明，将报送主管部门给予行政处罚。</w:t>
      </w:r>
    </w:p>
    <w:p>
      <w:pPr>
        <w:jc w:val="center"/>
        <w:outlineLvl w:val="3"/>
        <w:rPr>
          <w:rFonts w:ascii="黑体" w:hAnsi="宋体" w:eastAsia="黑体"/>
          <w:bCs/>
          <w:kern w:val="0"/>
          <w:sz w:val="24"/>
          <w:szCs w:val="32"/>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（一）中小企业声明函</w:t>
      </w:r>
    </w:p>
    <w:p>
      <w:pPr>
        <w:jc w:val="center"/>
        <w:outlineLvl w:val="3"/>
        <w:rPr>
          <w:rFonts w:ascii="黑体" w:hAnsi="宋体" w:eastAsia="黑体"/>
          <w:bCs/>
          <w:kern w:val="0"/>
          <w:sz w:val="24"/>
          <w:szCs w:val="32"/>
        </w:rPr>
      </w:pPr>
    </w:p>
    <w:p>
      <w:pPr>
        <w:ind w:firstLine="420" w:firstLineChars="200"/>
        <w:rPr>
          <w:rFonts w:ascii="宋体" w:hAnsi="宋体"/>
          <w:szCs w:val="21"/>
        </w:rPr>
      </w:pPr>
      <w:r>
        <w:rPr>
          <w:rFonts w:hint="eastAsia" w:ascii="宋体" w:hAnsi="宋体"/>
          <w:szCs w:val="21"/>
        </w:rPr>
        <w:t>本公司郑重声明，根据《政府采购促进中小企业发展暂行办法》（财库〔2011〕181号）的规定，本公司为______（请填写：中型、小型、微型）企业。即，本公司同时满足以下条件：</w:t>
      </w:r>
    </w:p>
    <w:p>
      <w:pPr>
        <w:ind w:firstLine="420" w:firstLineChars="200"/>
        <w:rPr>
          <w:rFonts w:ascii="宋体" w:hAnsi="宋体"/>
          <w:szCs w:val="21"/>
        </w:rPr>
      </w:pPr>
      <w:r>
        <w:rPr>
          <w:rFonts w:hint="eastAsia" w:ascii="宋体" w:hAnsi="宋体"/>
          <w:szCs w:val="21"/>
        </w:rPr>
        <w:t>1.根据《工业和信息化部、国家统计局、国家发展和改革委员会、财政部关于印发中小企业划型标准规定的通知》（工信部联企业〔2011〕300号）规定的划分标准，本公司为______（请填写：中型、小型、微型）企业。</w:t>
      </w:r>
    </w:p>
    <w:p>
      <w:pPr>
        <w:ind w:firstLine="420" w:firstLineChars="200"/>
        <w:rPr>
          <w:rFonts w:ascii="宋体" w:hAnsi="宋体"/>
          <w:szCs w:val="21"/>
        </w:rPr>
      </w:pPr>
      <w:r>
        <w:rPr>
          <w:rFonts w:hint="eastAsia" w:ascii="宋体" w:hAnsi="宋体"/>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ind w:firstLine="420" w:firstLineChars="200"/>
        <w:rPr>
          <w:rFonts w:ascii="宋体" w:hAnsi="宋体"/>
          <w:szCs w:val="21"/>
        </w:rPr>
      </w:pPr>
      <w:r>
        <w:rPr>
          <w:rFonts w:hint="eastAsia" w:ascii="宋体" w:hAnsi="宋体"/>
          <w:szCs w:val="21"/>
        </w:rPr>
        <w:t xml:space="preserve">本公司对上述声明的真实性负责。如有虚假，将依法承担相应责任。 </w:t>
      </w:r>
    </w:p>
    <w:p>
      <w:pPr>
        <w:rPr>
          <w:rFonts w:ascii="宋体" w:hAnsi="宋体"/>
          <w:szCs w:val="21"/>
        </w:rPr>
      </w:pPr>
      <w:r>
        <w:rPr>
          <w:rFonts w:hint="eastAsia"/>
          <w:szCs w:val="21"/>
        </w:rPr>
        <w:t xml:space="preserve">                                                      </w:t>
      </w:r>
    </w:p>
    <w:p>
      <w:pPr>
        <w:ind w:firstLine="420" w:firstLineChars="200"/>
        <w:rPr>
          <w:rFonts w:ascii="宋体" w:hAnsi="宋体"/>
          <w:szCs w:val="21"/>
        </w:rPr>
      </w:pPr>
    </w:p>
    <w:p>
      <w:pPr>
        <w:outlineLvl w:val="3"/>
        <w:rPr>
          <w:b/>
          <w:sz w:val="24"/>
        </w:rPr>
      </w:pPr>
    </w:p>
    <w:p>
      <w:pPr>
        <w:jc w:val="center"/>
        <w:outlineLvl w:val="3"/>
        <w:rPr>
          <w:b/>
          <w:sz w:val="24"/>
        </w:rPr>
      </w:pPr>
      <w:r>
        <w:rPr>
          <w:rFonts w:hint="eastAsia"/>
          <w:b/>
          <w:sz w:val="24"/>
        </w:rPr>
        <w:t>（二）残疾人福利性单位声明函</w:t>
      </w:r>
    </w:p>
    <w:p>
      <w:pPr>
        <w:jc w:val="center"/>
        <w:outlineLvl w:val="3"/>
        <w:rPr>
          <w:b/>
          <w:sz w:val="24"/>
        </w:rPr>
      </w:pPr>
    </w:p>
    <w:p>
      <w:pPr>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20" w:firstLineChars="200"/>
        <w:rPr>
          <w:rFonts w:ascii="宋体" w:hAnsi="宋体"/>
          <w:szCs w:val="21"/>
        </w:rPr>
      </w:pPr>
      <w:r>
        <w:rPr>
          <w:rFonts w:hint="eastAsia" w:ascii="宋体" w:hAnsi="宋体"/>
          <w:szCs w:val="21"/>
        </w:rPr>
        <w:t>本单位对上述声明的真实性负责。如有虚假，将依法承担相应责任。</w:t>
      </w:r>
    </w:p>
    <w:p>
      <w:pPr>
        <w:rPr>
          <w:rFonts w:ascii="宋体" w:hAnsi="宋体"/>
          <w:szCs w:val="21"/>
        </w:rPr>
      </w:pPr>
      <w:r>
        <w:rPr>
          <w:rFonts w:hint="eastAsia"/>
          <w:szCs w:val="21"/>
        </w:rPr>
        <w:t xml:space="preserve">                                                   </w:t>
      </w:r>
    </w:p>
    <w:p>
      <w:pPr>
        <w:ind w:firstLine="420" w:firstLineChars="200"/>
      </w:pPr>
    </w:p>
    <w:p>
      <w:pPr>
        <w:ind w:firstLine="482" w:firstLineChars="200"/>
        <w:rPr>
          <w:b/>
          <w:sz w:val="24"/>
        </w:rPr>
      </w:pPr>
      <w:r>
        <w:rPr>
          <w:rFonts w:hint="eastAsia"/>
          <w:b/>
          <w:sz w:val="24"/>
        </w:rPr>
        <w:t>（三）省级以上监狱管理局、戒毒管理局（含新疆生产建设兵团）出具的属于监狱企业的证明文件（仅限监狱企业，格式自定）</w:t>
      </w:r>
    </w:p>
    <w:p>
      <w:pPr>
        <w:ind w:firstLine="482" w:firstLineChars="200"/>
        <w:rPr>
          <w:b/>
          <w:sz w:val="24"/>
        </w:rPr>
      </w:pPr>
    </w:p>
    <w:p>
      <w:pPr>
        <w:pStyle w:val="2"/>
      </w:pPr>
    </w:p>
    <w:p>
      <w:pPr>
        <w:jc w:val="center"/>
        <w:rPr>
          <w:b/>
          <w:sz w:val="32"/>
          <w:szCs w:val="32"/>
        </w:rPr>
      </w:pPr>
      <w:r>
        <w:rPr>
          <w:rFonts w:hint="eastAsia"/>
          <w:b/>
          <w:sz w:val="32"/>
          <w:szCs w:val="32"/>
        </w:rPr>
        <w:t>其它内容格式自定</w:t>
      </w:r>
    </w:p>
    <w:p>
      <w:pPr>
        <w:jc w:val="center"/>
        <w:rPr>
          <w:b/>
          <w:sz w:val="32"/>
          <w:szCs w:val="32"/>
        </w:rPr>
      </w:pPr>
    </w:p>
    <w:p>
      <w:pPr>
        <w:jc w:val="center"/>
        <w:rPr>
          <w:b/>
          <w:sz w:val="32"/>
          <w:szCs w:val="32"/>
        </w:rPr>
      </w:pPr>
    </w:p>
    <w:p>
      <w:pPr>
        <w:jc w:val="center"/>
        <w:rPr>
          <w:b/>
          <w:sz w:val="32"/>
          <w:szCs w:val="32"/>
        </w:rPr>
      </w:pPr>
    </w:p>
    <w:p>
      <w:pPr>
        <w:rPr>
          <w:rFonts w:ascii="仿宋_GB2312" w:eastAsia="仿宋_GB2312"/>
          <w:b/>
          <w:sz w:val="30"/>
          <w:szCs w:val="30"/>
        </w:rPr>
      </w:pPr>
      <w:r>
        <w:rPr>
          <w:rFonts w:hint="eastAsia" w:ascii="仿宋_GB2312" w:eastAsia="仿宋_GB2312"/>
          <w:b/>
          <w:sz w:val="30"/>
          <w:szCs w:val="30"/>
        </w:rPr>
        <w:t>投标文件附件（非信息公开部分）：</w:t>
      </w:r>
    </w:p>
    <w:p>
      <w:pPr>
        <w:rPr>
          <w:rFonts w:ascii="仿宋_GB2312" w:eastAsia="仿宋_GB2312"/>
          <w:b/>
          <w:sz w:val="30"/>
          <w:szCs w:val="30"/>
        </w:rPr>
      </w:pPr>
    </w:p>
    <w:p>
      <w:pPr>
        <w:pStyle w:val="4"/>
        <w:jc w:val="center"/>
        <w:rPr>
          <w:rFonts w:ascii="黑体" w:eastAsia="黑体"/>
          <w:kern w:val="0"/>
          <w:sz w:val="24"/>
        </w:rPr>
      </w:pPr>
      <w:r>
        <w:rPr>
          <w:rFonts w:hint="eastAsia" w:ascii="黑体" w:eastAsia="黑体"/>
          <w:kern w:val="0"/>
          <w:sz w:val="24"/>
        </w:rPr>
        <w:t>一、法定代表人（负责人）资格证明书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w:t>
      </w:r>
      <w:r>
        <w:rPr>
          <w:rFonts w:hint="eastAsia" w:ascii="黑体" w:eastAsia="黑体"/>
          <w:b/>
          <w:kern w:val="0"/>
          <w:sz w:val="24"/>
        </w:rPr>
        <w:t>（负责人）</w:t>
      </w:r>
      <w:r>
        <w:rPr>
          <w:rFonts w:hint="eastAsia"/>
          <w:szCs w:val="21"/>
        </w:rPr>
        <w:t>，特此证明。</w:t>
      </w:r>
    </w:p>
    <w:p>
      <w:pPr>
        <w:spacing w:line="360" w:lineRule="auto"/>
        <w:rPr>
          <w:szCs w:val="21"/>
        </w:rPr>
      </w:pPr>
      <w:r>
        <w:rPr>
          <w:rFonts w:hint="eastAsia"/>
          <w:szCs w:val="21"/>
        </w:rPr>
        <w:t>说明：1、法定代表人为企业事业单位、国家机关、社会团体的主要负责人。</w:t>
      </w:r>
    </w:p>
    <w:p>
      <w:pPr>
        <w:rPr>
          <w:szCs w:val="21"/>
        </w:rPr>
      </w:pPr>
      <w:r>
        <w:rPr>
          <w:rFonts w:hint="eastAsia"/>
          <w:szCs w:val="21"/>
        </w:rPr>
        <w:t xml:space="preserve">      2、内容必须填写真实、清楚，涂改无效，不得转让、买卖。</w:t>
      </w:r>
    </w:p>
    <w:p>
      <w:pPr>
        <w:spacing w:line="360" w:lineRule="auto"/>
        <w:rPr>
          <w:b/>
          <w:szCs w:val="21"/>
        </w:rPr>
      </w:pPr>
    </w:p>
    <w:p>
      <w:pPr>
        <w:spacing w:line="360" w:lineRule="auto"/>
        <w:rPr>
          <w:b/>
          <w:sz w:val="32"/>
          <w:szCs w:val="32"/>
        </w:rPr>
      </w:pPr>
      <w:r>
        <w:rPr>
          <w:rFonts w:hint="eastAsia"/>
          <w:b/>
          <w:sz w:val="32"/>
          <w:szCs w:val="32"/>
        </w:rPr>
        <w:t>附：要求必须提供法定代表人（负责人）身份证（境外人员无法提供身份证的，可提供护照）扫描件（正反两面）。</w:t>
      </w:r>
    </w:p>
    <w:p>
      <w:pPr>
        <w:spacing w:line="360" w:lineRule="auto"/>
        <w:rPr>
          <w:b/>
          <w:sz w:val="32"/>
          <w:szCs w:val="32"/>
        </w:rPr>
      </w:pPr>
    </w:p>
    <w:p>
      <w:pPr>
        <w:spacing w:line="360" w:lineRule="auto"/>
        <w:rPr>
          <w:b/>
          <w:sz w:val="32"/>
          <w:szCs w:val="32"/>
        </w:rPr>
      </w:pPr>
    </w:p>
    <w:p>
      <w:pPr>
        <w:pStyle w:val="4"/>
        <w:jc w:val="center"/>
        <w:rPr>
          <w:rFonts w:ascii="黑体" w:eastAsia="黑体"/>
          <w:sz w:val="24"/>
          <w:szCs w:val="24"/>
        </w:rPr>
      </w:pPr>
      <w:r>
        <w:tab/>
      </w:r>
      <w:r>
        <w:rPr>
          <w:rFonts w:hint="eastAsia" w:ascii="黑体" w:eastAsia="黑体"/>
          <w:kern w:val="0"/>
          <w:sz w:val="24"/>
          <w:szCs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w:t>
      </w:r>
      <w:r>
        <w:rPr>
          <w:rFonts w:hint="eastAsia" w:ascii="黑体" w:eastAsia="黑体"/>
          <w:b/>
          <w:kern w:val="0"/>
          <w:sz w:val="24"/>
        </w:rPr>
        <w:t>（负责人）</w:t>
      </w:r>
      <w:r>
        <w:rPr>
          <w:rFonts w:hint="eastAsia"/>
          <w:szCs w:val="21"/>
        </w:rPr>
        <w:t>，现授权委托</w:t>
      </w:r>
      <w:r>
        <w:rPr>
          <w:rFonts w:hint="eastAsia"/>
          <w:szCs w:val="21"/>
          <w:u w:val="single"/>
        </w:rPr>
        <w:t xml:space="preserve">            </w:t>
      </w:r>
      <w:r>
        <w:rPr>
          <w:rFonts w:hint="eastAsia"/>
          <w:szCs w:val="21"/>
        </w:rPr>
        <w:t>（姓名）为我公司签署本项目已递交的投标文件的法定代表人</w:t>
      </w:r>
      <w:r>
        <w:rPr>
          <w:rFonts w:hint="eastAsia" w:ascii="黑体" w:eastAsia="黑体"/>
          <w:b/>
          <w:kern w:val="0"/>
          <w:sz w:val="24"/>
        </w:rPr>
        <w:t>（负责人）</w:t>
      </w:r>
      <w:r>
        <w:rPr>
          <w:rFonts w:hint="eastAsia"/>
          <w:szCs w:val="21"/>
        </w:rPr>
        <w:t>的授权委托代理人，代理人全权代表我所签署的本项目已递交的投标文件内容我均承认。</w:t>
      </w:r>
    </w:p>
    <w:p>
      <w:pPr>
        <w:pStyle w:val="2"/>
        <w:spacing w:line="360" w:lineRule="auto"/>
        <w:rPr>
          <w:szCs w:val="21"/>
        </w:rPr>
      </w:pPr>
      <w:r>
        <w:rPr>
          <w:rFonts w:hint="eastAsia"/>
          <w:szCs w:val="21"/>
        </w:rPr>
        <w:t>代理人无转委托权，特此委托。</w:t>
      </w:r>
    </w:p>
    <w:p>
      <w:pPr>
        <w:pStyle w:val="2"/>
        <w:spacing w:line="360" w:lineRule="auto"/>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rPr>
          <w:b/>
          <w:sz w:val="32"/>
          <w:szCs w:val="32"/>
        </w:rPr>
      </w:pPr>
    </w:p>
    <w:p>
      <w:pPr>
        <w:spacing w:line="360" w:lineRule="auto"/>
        <w:rPr>
          <w:b/>
          <w:sz w:val="32"/>
          <w:szCs w:val="32"/>
        </w:rPr>
      </w:pPr>
      <w:r>
        <w:rPr>
          <w:rFonts w:hint="eastAsia"/>
          <w:b/>
          <w:sz w:val="32"/>
          <w:szCs w:val="32"/>
        </w:rPr>
        <w:t>附：要求必须提供代理人身份证（境外人员无法提供身份证的，可提供护照）扫描件（正反两面）。</w:t>
      </w:r>
    </w:p>
    <w:p>
      <w:pPr>
        <w:spacing w:line="360" w:lineRule="auto"/>
        <w:ind w:left="540" w:leftChars="257"/>
        <w:rPr>
          <w:szCs w:val="21"/>
          <w:u w:val="single"/>
        </w:rPr>
      </w:pPr>
    </w:p>
    <w:p>
      <w:pPr>
        <w:pStyle w:val="4"/>
        <w:jc w:val="center"/>
        <w:rPr>
          <w:rFonts w:ascii="黑体" w:eastAsia="黑体"/>
          <w:kern w:val="0"/>
          <w:sz w:val="24"/>
          <w:szCs w:val="24"/>
        </w:rPr>
      </w:pPr>
      <w:r>
        <w:rPr>
          <w:rFonts w:hint="eastAsia" w:ascii="黑体" w:eastAsia="黑体"/>
          <w:kern w:val="0"/>
          <w:sz w:val="24"/>
          <w:szCs w:val="24"/>
        </w:rPr>
        <w:t>三、实质性条款响应情况表</w:t>
      </w:r>
    </w:p>
    <w:tbl>
      <w:tblPr>
        <w:tblStyle w:val="42"/>
        <w:tblW w:w="84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7"/>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jc w:val="center"/>
            </w:pPr>
            <w:r>
              <w:rPr>
                <w:rFonts w:hint="eastAsia"/>
              </w:rPr>
              <w:t>序号</w:t>
            </w:r>
          </w:p>
        </w:tc>
        <w:tc>
          <w:tcPr>
            <w:tcW w:w="1757" w:type="dxa"/>
            <w:vAlign w:val="center"/>
          </w:tcPr>
          <w:p>
            <w:pPr>
              <w:jc w:val="center"/>
            </w:pPr>
            <w:r>
              <w:rPr>
                <w:rFonts w:hint="eastAsia"/>
              </w:rPr>
              <w:t>目录</w:t>
            </w:r>
          </w:p>
        </w:tc>
        <w:tc>
          <w:tcPr>
            <w:tcW w:w="5955" w:type="dxa"/>
            <w:vAlign w:val="center"/>
          </w:tcPr>
          <w:p>
            <w:pPr>
              <w:jc w:val="center"/>
            </w:pPr>
            <w:r>
              <w:rPr>
                <w:rFonts w:hint="eastAsia"/>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pPr>
            <w:r>
              <w:rPr>
                <w:rFonts w:hint="eastAsia"/>
              </w:rPr>
              <w:t>1</w:t>
            </w:r>
          </w:p>
        </w:tc>
        <w:tc>
          <w:tcPr>
            <w:tcW w:w="1757" w:type="dxa"/>
            <w:vAlign w:val="center"/>
          </w:tcPr>
          <w:p>
            <w:pPr>
              <w:jc w:val="center"/>
            </w:pPr>
            <w:r>
              <w:rPr>
                <w:rFonts w:hint="eastAsia"/>
              </w:rPr>
              <w:t>服务期限</w:t>
            </w:r>
          </w:p>
        </w:tc>
        <w:tc>
          <w:tcPr>
            <w:tcW w:w="5955" w:type="dxa"/>
            <w:vAlign w:val="center"/>
          </w:tcPr>
          <w:p>
            <w:pPr>
              <w:spacing w:line="276"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pPr>
            <w:r>
              <w:rPr>
                <w:rFonts w:hint="eastAsia"/>
              </w:rPr>
              <w:t>2</w:t>
            </w:r>
          </w:p>
        </w:tc>
        <w:tc>
          <w:tcPr>
            <w:tcW w:w="1757" w:type="dxa"/>
            <w:vAlign w:val="center"/>
          </w:tcPr>
          <w:p>
            <w:pPr>
              <w:jc w:val="center"/>
            </w:pPr>
            <w:r>
              <w:rPr>
                <w:rFonts w:hint="eastAsia"/>
              </w:rPr>
              <w:t>付款方式</w:t>
            </w:r>
          </w:p>
        </w:tc>
        <w:tc>
          <w:tcPr>
            <w:tcW w:w="5955" w:type="dxa"/>
            <w:vAlign w:val="center"/>
          </w:tcPr>
          <w:p>
            <w:pPr>
              <w:jc w:val="left"/>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b/>
        </w:rPr>
      </w:pPr>
      <w:r>
        <w:rPr>
          <w:rFonts w:hint="eastAsia"/>
          <w:b/>
        </w:rPr>
        <w:t>3. “实质性响应条款响应情况”与投标文件其它内容冲突的，以“实质性响应条款响应情况”为准。</w:t>
      </w:r>
    </w:p>
    <w:p>
      <w:pPr>
        <w:pStyle w:val="4"/>
        <w:jc w:val="center"/>
        <w:rPr>
          <w:rFonts w:ascii="黑体" w:eastAsia="黑体"/>
          <w:sz w:val="24"/>
          <w:szCs w:val="24"/>
        </w:rPr>
      </w:pPr>
      <w:r>
        <w:rPr>
          <w:rFonts w:hint="eastAsia" w:ascii="黑体" w:eastAsia="黑体"/>
          <w:sz w:val="24"/>
          <w:szCs w:val="24"/>
        </w:rPr>
        <w:t>四、详细分项报价清单</w:t>
      </w:r>
    </w:p>
    <w:p>
      <w:r>
        <w:rPr>
          <w:rFonts w:hint="eastAsia"/>
        </w:rPr>
        <w:t>1.分项报价清单</w:t>
      </w:r>
    </w:p>
    <w:p>
      <w:pPr>
        <w:pStyle w:val="2"/>
      </w:pP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411"/>
        <w:gridCol w:w="1218"/>
        <w:gridCol w:w="1218"/>
        <w:gridCol w:w="1219"/>
        <w:gridCol w:w="1219"/>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gridSpan w:val="2"/>
          </w:tcPr>
          <w:p>
            <w:pPr>
              <w:pStyle w:val="2"/>
              <w:ind w:firstLine="0"/>
            </w:pPr>
            <w:r>
              <w:rPr>
                <w:rFonts w:hint="eastAsia"/>
              </w:rPr>
              <w:t>项目</w:t>
            </w:r>
          </w:p>
        </w:tc>
        <w:tc>
          <w:tcPr>
            <w:tcW w:w="1218" w:type="dxa"/>
            <w:vAlign w:val="center"/>
          </w:tcPr>
          <w:p>
            <w:pPr>
              <w:pStyle w:val="2"/>
              <w:ind w:firstLine="0"/>
              <w:jc w:val="center"/>
            </w:pPr>
            <w:r>
              <w:rPr>
                <w:rFonts w:hint="eastAsia"/>
              </w:rPr>
              <w:t>人数</w:t>
            </w:r>
          </w:p>
        </w:tc>
        <w:tc>
          <w:tcPr>
            <w:tcW w:w="1218" w:type="dxa"/>
            <w:vAlign w:val="center"/>
          </w:tcPr>
          <w:p>
            <w:pPr>
              <w:pStyle w:val="2"/>
              <w:ind w:firstLine="0"/>
              <w:jc w:val="center"/>
            </w:pPr>
            <w:r>
              <w:rPr>
                <w:rFonts w:hint="eastAsia"/>
              </w:rPr>
              <w:t>单位（元/人月）</w:t>
            </w:r>
          </w:p>
        </w:tc>
        <w:tc>
          <w:tcPr>
            <w:tcW w:w="1219" w:type="dxa"/>
            <w:vAlign w:val="center"/>
          </w:tcPr>
          <w:p>
            <w:pPr>
              <w:pStyle w:val="2"/>
              <w:ind w:firstLine="0"/>
              <w:jc w:val="center"/>
            </w:pPr>
            <w:r>
              <w:rPr>
                <w:rFonts w:hint="eastAsia"/>
              </w:rPr>
              <w:t>人月</w:t>
            </w:r>
          </w:p>
        </w:tc>
        <w:tc>
          <w:tcPr>
            <w:tcW w:w="1219" w:type="dxa"/>
            <w:vAlign w:val="center"/>
          </w:tcPr>
          <w:p>
            <w:pPr>
              <w:pStyle w:val="2"/>
              <w:ind w:firstLine="0"/>
              <w:jc w:val="center"/>
            </w:pPr>
            <w:r>
              <w:rPr>
                <w:rFonts w:hint="eastAsia"/>
              </w:rPr>
              <w:t>报价（元）</w:t>
            </w:r>
          </w:p>
        </w:tc>
        <w:tc>
          <w:tcPr>
            <w:tcW w:w="1219" w:type="dxa"/>
            <w:vAlign w:val="center"/>
          </w:tcPr>
          <w:p>
            <w:pPr>
              <w:pStyle w:val="2"/>
              <w:ind w:firstLine="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vAlign w:val="center"/>
          </w:tcPr>
          <w:p>
            <w:pPr>
              <w:pStyle w:val="2"/>
              <w:ind w:firstLine="0"/>
              <w:jc w:val="center"/>
            </w:pPr>
            <w:r>
              <w:rPr>
                <w:rFonts w:hint="eastAsia"/>
              </w:rPr>
              <w:t>人工费</w:t>
            </w:r>
          </w:p>
        </w:tc>
        <w:tc>
          <w:tcPr>
            <w:tcW w:w="1411" w:type="dxa"/>
            <w:vAlign w:val="center"/>
          </w:tcPr>
          <w:p>
            <w:pPr>
              <w:jc w:val="center"/>
            </w:pPr>
            <w:r>
              <w:rPr>
                <w:rFonts w:hint="eastAsia"/>
              </w:rPr>
              <w:t>项目负责人</w:t>
            </w:r>
          </w:p>
        </w:tc>
        <w:tc>
          <w:tcPr>
            <w:tcW w:w="1218" w:type="dxa"/>
            <w:vAlign w:val="center"/>
          </w:tcPr>
          <w:p>
            <w:pPr>
              <w:pStyle w:val="2"/>
              <w:ind w:firstLine="0"/>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团队成员1</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团队成员2</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团队成员3</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团队成员4</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团队成员5</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团队成员6</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25" w:type="dxa"/>
            <w:vMerge w:val="continue"/>
          </w:tcPr>
          <w:p>
            <w:pPr>
              <w:pStyle w:val="2"/>
            </w:pPr>
          </w:p>
        </w:tc>
        <w:tc>
          <w:tcPr>
            <w:tcW w:w="1411" w:type="dxa"/>
            <w:vAlign w:val="center"/>
          </w:tcPr>
          <w:p>
            <w:pPr>
              <w:jc w:val="center"/>
            </w:pPr>
            <w:r>
              <w:rPr>
                <w:rFonts w:hint="eastAsia"/>
              </w:rPr>
              <w:t>团队成员7</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团队成员8</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pStyle w:val="2"/>
            </w:pPr>
          </w:p>
        </w:tc>
        <w:tc>
          <w:tcPr>
            <w:tcW w:w="1411" w:type="dxa"/>
            <w:vAlign w:val="center"/>
          </w:tcPr>
          <w:p>
            <w:pPr>
              <w:jc w:val="center"/>
            </w:pPr>
            <w:r>
              <w:rPr>
                <w:rFonts w:hint="eastAsia"/>
              </w:rPr>
              <w:t>团队成员9</w:t>
            </w:r>
          </w:p>
        </w:tc>
        <w:tc>
          <w:tcPr>
            <w:tcW w:w="1218" w:type="dxa"/>
            <w:vAlign w:val="center"/>
          </w:tcPr>
          <w:p>
            <w:pPr>
              <w:jc w:val="center"/>
            </w:pPr>
            <w:r>
              <w:rPr>
                <w:rFonts w:hint="eastAsia"/>
              </w:rPr>
              <w:t>1</w:t>
            </w:r>
          </w:p>
        </w:tc>
        <w:tc>
          <w:tcPr>
            <w:tcW w:w="1218"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gridSpan w:val="5"/>
            <w:vAlign w:val="center"/>
          </w:tcPr>
          <w:p>
            <w:pPr>
              <w:pStyle w:val="2"/>
              <w:ind w:firstLine="0"/>
              <w:jc w:val="center"/>
            </w:pPr>
            <w:r>
              <w:rPr>
                <w:rFonts w:hint="eastAsia"/>
              </w:rPr>
              <w:t>评审费</w:t>
            </w:r>
          </w:p>
        </w:tc>
        <w:tc>
          <w:tcPr>
            <w:tcW w:w="1219" w:type="dxa"/>
            <w:vAlign w:val="center"/>
          </w:tcPr>
          <w:p>
            <w:pPr>
              <w:pStyle w:val="2"/>
              <w:jc w:val="center"/>
            </w:pPr>
          </w:p>
        </w:tc>
        <w:tc>
          <w:tcPr>
            <w:tcW w:w="121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gridSpan w:val="5"/>
          </w:tcPr>
          <w:p>
            <w:pPr>
              <w:pStyle w:val="2"/>
              <w:ind w:firstLine="0"/>
            </w:pPr>
            <w:r>
              <w:rPr>
                <w:rFonts w:hint="eastAsia"/>
              </w:rPr>
              <w:t>差旅费</w:t>
            </w:r>
          </w:p>
        </w:tc>
        <w:tc>
          <w:tcPr>
            <w:tcW w:w="1219" w:type="dxa"/>
          </w:tcPr>
          <w:p>
            <w:pPr>
              <w:pStyle w:val="2"/>
            </w:pPr>
          </w:p>
        </w:tc>
        <w:tc>
          <w:tcPr>
            <w:tcW w:w="121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gridSpan w:val="5"/>
          </w:tcPr>
          <w:p>
            <w:pPr>
              <w:pStyle w:val="2"/>
              <w:ind w:firstLine="0"/>
            </w:pPr>
            <w:r>
              <w:rPr>
                <w:rFonts w:hint="eastAsia"/>
              </w:rPr>
              <w:t>其他</w:t>
            </w:r>
          </w:p>
        </w:tc>
        <w:tc>
          <w:tcPr>
            <w:tcW w:w="1219" w:type="dxa"/>
          </w:tcPr>
          <w:p>
            <w:pPr>
              <w:pStyle w:val="2"/>
            </w:pPr>
          </w:p>
        </w:tc>
        <w:tc>
          <w:tcPr>
            <w:tcW w:w="121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gridSpan w:val="5"/>
          </w:tcPr>
          <w:p>
            <w:pPr>
              <w:pStyle w:val="2"/>
              <w:ind w:firstLine="0"/>
            </w:pPr>
            <w:r>
              <w:rPr>
                <w:rFonts w:hint="eastAsia"/>
              </w:rPr>
              <w:t>法定税费</w:t>
            </w:r>
          </w:p>
        </w:tc>
        <w:tc>
          <w:tcPr>
            <w:tcW w:w="1219" w:type="dxa"/>
          </w:tcPr>
          <w:p>
            <w:pPr>
              <w:pStyle w:val="2"/>
            </w:pPr>
          </w:p>
        </w:tc>
        <w:tc>
          <w:tcPr>
            <w:tcW w:w="1219"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gridSpan w:val="2"/>
            <w:vMerge w:val="restart"/>
          </w:tcPr>
          <w:p>
            <w:pPr>
              <w:pStyle w:val="2"/>
              <w:ind w:firstLine="0"/>
            </w:pPr>
            <w:r>
              <w:rPr>
                <w:rFonts w:hint="eastAsia"/>
              </w:rPr>
              <w:t>合计</w:t>
            </w:r>
          </w:p>
        </w:tc>
        <w:tc>
          <w:tcPr>
            <w:tcW w:w="6093" w:type="dxa"/>
            <w:gridSpan w:val="5"/>
          </w:tcPr>
          <w:p>
            <w:pPr>
              <w:pStyle w:val="2"/>
              <w:ind w:firstLine="0"/>
            </w:pPr>
            <w:r>
              <w:rPr>
                <w:rFonts w:hint="eastAsia"/>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gridSpan w:val="2"/>
            <w:vMerge w:val="continue"/>
          </w:tcPr>
          <w:p>
            <w:pPr>
              <w:pStyle w:val="2"/>
              <w:ind w:firstLine="0"/>
              <w:rPr>
                <w:highlight w:val="yellow"/>
              </w:rPr>
            </w:pPr>
          </w:p>
        </w:tc>
        <w:tc>
          <w:tcPr>
            <w:tcW w:w="6093" w:type="dxa"/>
            <w:gridSpan w:val="5"/>
          </w:tcPr>
          <w:p>
            <w:pPr>
              <w:pStyle w:val="2"/>
              <w:ind w:firstLine="0"/>
            </w:pPr>
            <w:r>
              <w:rPr>
                <w:rFonts w:hint="eastAsia"/>
              </w:rPr>
              <w:t>小写：</w:t>
            </w:r>
          </w:p>
        </w:tc>
      </w:tr>
    </w:tbl>
    <w:p>
      <w:pPr>
        <w:jc w:val="center"/>
        <w:rPr>
          <w:b/>
          <w:sz w:val="32"/>
          <w:szCs w:val="32"/>
        </w:rPr>
      </w:pPr>
    </w:p>
    <w:p>
      <w:pPr>
        <w:jc w:val="center"/>
        <w:rPr>
          <w:b/>
          <w:sz w:val="32"/>
          <w:szCs w:val="32"/>
        </w:rPr>
      </w:pPr>
      <w:r>
        <w:rPr>
          <w:rFonts w:hint="eastAsia"/>
          <w:b/>
          <w:sz w:val="32"/>
          <w:szCs w:val="32"/>
        </w:rPr>
        <w:t>其它内容格式自定</w:t>
      </w:r>
    </w:p>
    <w:p>
      <w:pPr>
        <w:rPr>
          <w:rFonts w:ascii="黑体" w:hAnsi="宋体" w:eastAsia="黑体"/>
          <w:bCs/>
          <w:kern w:val="0"/>
          <w:sz w:val="24"/>
        </w:rPr>
      </w:pPr>
      <w:r>
        <w:rPr>
          <w:rFonts w:ascii="黑体" w:hAnsi="宋体" w:eastAsia="黑体"/>
          <w:bCs/>
          <w:kern w:val="0"/>
          <w:sz w:val="24"/>
        </w:rPr>
        <w:br w:type="page"/>
      </w:r>
    </w:p>
    <w:p>
      <w:pPr>
        <w:jc w:val="center"/>
        <w:rPr>
          <w:rFonts w:ascii="黑体" w:hAnsi="宋体" w:eastAsia="黑体"/>
          <w:bCs/>
          <w:kern w:val="0"/>
          <w:sz w:val="24"/>
        </w:rPr>
      </w:pPr>
    </w:p>
    <w:p>
      <w:pPr>
        <w:pStyle w:val="5"/>
      </w:pPr>
      <w:r>
        <w:rPr>
          <w:rFonts w:hint="eastAsia"/>
        </w:rPr>
        <w:t>第四章  合同及履约情况反馈格式</w:t>
      </w:r>
    </w:p>
    <w:p>
      <w:pPr>
        <w:ind w:firstLine="411" w:firstLineChars="196"/>
      </w:pPr>
    </w:p>
    <w:p>
      <w:pPr>
        <w:pStyle w:val="4"/>
        <w:jc w:val="center"/>
        <w:rPr>
          <w:rFonts w:ascii="黑体" w:eastAsia="黑体"/>
          <w:kern w:val="0"/>
          <w:sz w:val="24"/>
          <w:szCs w:val="24"/>
        </w:rPr>
      </w:pPr>
      <w:r>
        <w:rPr>
          <w:rFonts w:hint="eastAsia" w:ascii="黑体" w:eastAsia="黑体"/>
          <w:kern w:val="0"/>
          <w:sz w:val="24"/>
          <w:szCs w:val="24"/>
        </w:rPr>
        <w:t>一、合同条款及格式（仅供参考）</w:t>
      </w:r>
    </w:p>
    <w:p>
      <w:pPr>
        <w:ind w:firstLine="470" w:firstLineChars="196"/>
        <w:jc w:val="center"/>
        <w:rPr>
          <w:sz w:val="24"/>
        </w:rPr>
      </w:pPr>
      <w:bookmarkStart w:id="71" w:name="_Toc101074886"/>
      <w:bookmarkStart w:id="72" w:name="_Toc73517685"/>
      <w:bookmarkStart w:id="73" w:name="_Toc100052414"/>
      <w:bookmarkStart w:id="74" w:name="_Toc84303603"/>
      <w:bookmarkStart w:id="75" w:name="_Toc73521680"/>
      <w:bookmarkStart w:id="76" w:name="_Toc73518163"/>
      <w:bookmarkStart w:id="77" w:name="_Toc73521592"/>
    </w:p>
    <w:p>
      <w:pPr>
        <w:ind w:firstLine="470" w:firstLineChars="196"/>
        <w:jc w:val="center"/>
        <w:rPr>
          <w:sz w:val="24"/>
        </w:rPr>
      </w:pPr>
    </w:p>
    <w:p>
      <w:pPr>
        <w:jc w:val="center"/>
        <w:rPr>
          <w:b/>
          <w:sz w:val="24"/>
        </w:rPr>
      </w:pPr>
      <w:r>
        <w:rPr>
          <w:rFonts w:hint="eastAsia"/>
          <w:b/>
          <w:sz w:val="24"/>
        </w:rPr>
        <w:t>合同条款</w:t>
      </w:r>
      <w:bookmarkEnd w:id="71"/>
      <w:bookmarkEnd w:id="72"/>
      <w:bookmarkEnd w:id="73"/>
      <w:bookmarkEnd w:id="74"/>
      <w:bookmarkEnd w:id="75"/>
      <w:bookmarkEnd w:id="76"/>
      <w:bookmarkEnd w:id="77"/>
    </w:p>
    <w:p>
      <w:pPr>
        <w:jc w:val="center"/>
      </w:pPr>
      <w:r>
        <w:rPr>
          <w:rFonts w:hint="eastAsia"/>
          <w:b/>
          <w:sz w:val="24"/>
        </w:rPr>
        <w:t>（仅供参考，项目具体要求以招标项目需求为准）</w:t>
      </w:r>
    </w:p>
    <w:p>
      <w:pPr>
        <w:rPr>
          <w:rFonts w:ascii="宋体" w:hAnsi="宋体"/>
          <w:b/>
          <w:bCs/>
          <w:szCs w:val="21"/>
        </w:rPr>
      </w:pPr>
      <w:r>
        <w:rPr>
          <w:rFonts w:hint="eastAsia" w:ascii="宋体" w:hAnsi="宋体"/>
          <w:b/>
          <w:bCs/>
          <w:szCs w:val="21"/>
        </w:rPr>
        <w:t>甲方：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szCs w:val="21"/>
        </w:rPr>
      </w:pPr>
    </w:p>
    <w:p>
      <w:pPr>
        <w:rPr>
          <w:rFonts w:ascii="宋体" w:hAnsi="宋体"/>
          <w:szCs w:val="21"/>
        </w:rPr>
      </w:pPr>
    </w:p>
    <w:p>
      <w:pPr>
        <w:ind w:firstLine="420" w:firstLineChars="200"/>
        <w:rPr>
          <w:rFonts w:ascii="宋体" w:hAnsi="宋体"/>
          <w:szCs w:val="21"/>
        </w:rPr>
      </w:pPr>
      <w:r>
        <w:rPr>
          <w:rFonts w:hint="eastAsia" w:ascii="宋体" w:hAnsi="宋体"/>
          <w:szCs w:val="21"/>
        </w:rPr>
        <w:t>根据三方诚信招标有限公司</w:t>
      </w:r>
      <w:r>
        <w:rPr>
          <w:rFonts w:hint="eastAsia" w:ascii="宋体" w:hAnsi="宋体"/>
          <w:szCs w:val="21"/>
          <w:u w:val="single"/>
        </w:rPr>
        <w:t xml:space="preserve">          </w:t>
      </w:r>
      <w:r>
        <w:rPr>
          <w:rFonts w:hint="eastAsia" w:ascii="宋体" w:hAnsi="宋体"/>
          <w:szCs w:val="21"/>
        </w:rPr>
        <w:t>号招标项目的投标结果，由</w:t>
      </w:r>
      <w:r>
        <w:rPr>
          <w:rFonts w:hint="eastAsia" w:ascii="宋体" w:hAnsi="宋体"/>
          <w:szCs w:val="21"/>
          <w:u w:val="single"/>
        </w:rPr>
        <w:t xml:space="preserve">             </w:t>
      </w:r>
      <w:r>
        <w:rPr>
          <w:rFonts w:hint="eastAsia" w:ascii="宋体" w:hAnsi="宋体"/>
          <w:szCs w:val="21"/>
        </w:rPr>
        <w:t>单位为中标方。按照《中华人民共和国经济合同法》和《深圳经济特区政府采购条例》，经深圳市</w:t>
      </w:r>
      <w:r>
        <w:rPr>
          <w:rFonts w:hint="eastAsia" w:ascii="宋体" w:hAnsi="宋体"/>
          <w:szCs w:val="21"/>
          <w:u w:val="single"/>
        </w:rPr>
        <w:t xml:space="preserve">         </w:t>
      </w:r>
      <w:r>
        <w:rPr>
          <w:rFonts w:hint="eastAsia" w:ascii="宋体" w:hAnsi="宋体"/>
          <w:szCs w:val="21"/>
        </w:rPr>
        <w:t>（以下简称甲方）和</w:t>
      </w:r>
      <w:r>
        <w:rPr>
          <w:rFonts w:hint="eastAsia" w:ascii="宋体" w:hAnsi="宋体"/>
          <w:szCs w:val="21"/>
          <w:u w:val="single"/>
        </w:rPr>
        <w:t xml:space="preserve">                          </w:t>
      </w:r>
      <w:r>
        <w:rPr>
          <w:rFonts w:hint="eastAsia" w:ascii="宋体" w:hAnsi="宋体"/>
          <w:szCs w:val="21"/>
        </w:rPr>
        <w:t>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pStyle w:val="2"/>
        <w:rPr>
          <w:rFonts w:ascii="宋体" w:hAnsi="宋体"/>
          <w:szCs w:val="21"/>
        </w:rPr>
      </w:pPr>
      <w:r>
        <w:rPr>
          <w:rFonts w:hint="eastAsia" w:ascii="宋体" w:hAnsi="宋体"/>
          <w:szCs w:val="21"/>
        </w:rPr>
        <w:t>支付方式：分期支付。</w:t>
      </w:r>
    </w:p>
    <w:p>
      <w:pPr>
        <w:ind w:firstLine="422"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2"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w:t>
      </w:r>
      <w:r>
        <w:rPr>
          <w:rFonts w:hint="eastAsia" w:ascii="宋体" w:hAnsi="宋体"/>
          <w:szCs w:val="21"/>
          <w:u w:val="single"/>
        </w:rPr>
        <w:t xml:space="preserve">   </w:t>
      </w:r>
      <w:r>
        <w:rPr>
          <w:rFonts w:hint="eastAsia" w:ascii="宋体" w:hAnsi="宋体"/>
          <w:szCs w:val="21"/>
        </w:rPr>
        <w:t>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第四条  咨询服务资料归属</w:t>
      </w:r>
    </w:p>
    <w:p>
      <w:pPr>
        <w:ind w:firstLine="42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1、负责与本咨询服务项目有关的第三方的协调，提供开展咨询服务工作的外部条件。</w:t>
      </w:r>
    </w:p>
    <w:p>
      <w:pPr>
        <w:ind w:firstLine="420" w:firstLineChars="200"/>
        <w:rPr>
          <w:rFonts w:ascii="宋体" w:hAnsi="宋体"/>
          <w:szCs w:val="21"/>
        </w:rPr>
      </w:pPr>
      <w:r>
        <w:rPr>
          <w:rFonts w:hint="eastAsia" w:ascii="宋体" w:hAnsi="宋体"/>
          <w:szCs w:val="21"/>
        </w:rPr>
        <w:t>2、向乙方提供与本项目咨询服务工作有关的资料。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2" w:firstLineChars="200"/>
        <w:rPr>
          <w:rFonts w:ascii="宋体" w:hAnsi="宋体"/>
          <w:b/>
          <w:bCs/>
          <w:szCs w:val="21"/>
        </w:rPr>
      </w:pPr>
      <w:r>
        <w:rPr>
          <w:rFonts w:hint="eastAsia" w:ascii="宋体" w:hAnsi="宋体"/>
          <w:b/>
          <w:bCs/>
          <w:szCs w:val="21"/>
        </w:rPr>
        <w:t>第七条　乙方的义务</w:t>
      </w:r>
    </w:p>
    <w:p>
      <w:pPr>
        <w:ind w:firstLine="420" w:firstLineChars="200"/>
        <w:rPr>
          <w:rFonts w:ascii="宋体" w:hAnsi="宋体"/>
          <w:szCs w:val="21"/>
        </w:rPr>
      </w:pPr>
      <w:r>
        <w:rPr>
          <w:rFonts w:hint="eastAsia" w:ascii="宋体" w:hAnsi="宋体"/>
          <w:szCs w:val="21"/>
        </w:rPr>
        <w:t>１、应按照</w:t>
      </w:r>
      <w:r>
        <w:rPr>
          <w:rFonts w:hint="eastAsia" w:ascii="宋体" w:hAnsi="宋体"/>
          <w:szCs w:val="21"/>
          <w:u w:val="single"/>
        </w:rPr>
        <w:t xml:space="preserve">          </w:t>
      </w:r>
      <w:r>
        <w:rPr>
          <w:rFonts w:hint="eastAsia" w:ascii="宋体" w:hAnsi="宋体"/>
          <w:szCs w:val="21"/>
        </w:rPr>
        <w:t>号招标文件、乙方投标文件要求按期完成本项目咨询服务工作。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w:t>
      </w:r>
      <w:r>
        <w:rPr>
          <w:rFonts w:hint="eastAsia" w:ascii="宋体" w:hAnsi="宋体"/>
          <w:u w:val="single"/>
        </w:rPr>
        <w:t xml:space="preserve">      </w:t>
      </w:r>
      <w:r>
        <w:rPr>
          <w:rFonts w:hint="eastAsia" w:ascii="宋体" w:hAnsi="宋体"/>
        </w:rPr>
        <w:t>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ascii="宋体" w:hAnsi="宋体"/>
          <w:b/>
          <w:bCs/>
          <w:szCs w:val="21"/>
        </w:rPr>
      </w:pPr>
      <w:r>
        <w:rPr>
          <w:rFonts w:hint="eastAsia" w:ascii="宋体" w:hAnsi="宋体"/>
          <w:b/>
          <w:bCs/>
          <w:szCs w:val="21"/>
        </w:rPr>
        <w:t>第八条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rPr>
      </w:pPr>
      <w:r>
        <w:rPr>
          <w:rFonts w:hint="eastAsia" w:ascii="宋体" w:hAnsi="宋体"/>
          <w:b/>
          <w:bCs/>
          <w:szCs w:val="21"/>
        </w:rPr>
        <w:t>第九条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2" w:firstLineChars="200"/>
        <w:rPr>
          <w:rFonts w:ascii="宋体" w:hAnsi="宋体"/>
          <w:b/>
          <w:bCs/>
          <w:szCs w:val="21"/>
        </w:rPr>
      </w:pPr>
      <w:r>
        <w:rPr>
          <w:rFonts w:hint="eastAsia" w:ascii="宋体" w:hAnsi="宋体"/>
          <w:b/>
          <w:bCs/>
          <w:szCs w:val="21"/>
        </w:rPr>
        <w:t>第十条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ascii="宋体" w:hAnsi="宋体"/>
          <w:b/>
          <w:bCs/>
          <w:szCs w:val="21"/>
        </w:rPr>
      </w:pPr>
      <w:r>
        <w:rPr>
          <w:rFonts w:hint="eastAsia" w:ascii="宋体" w:hAnsi="宋体"/>
          <w:b/>
          <w:bCs/>
          <w:szCs w:val="21"/>
        </w:rPr>
        <w:t>第十一条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ascii="宋体" w:hAnsi="宋体"/>
          <w:b/>
          <w:bCs/>
          <w:szCs w:val="21"/>
        </w:rPr>
      </w:pPr>
      <w:r>
        <w:rPr>
          <w:rFonts w:hint="eastAsia" w:ascii="宋体" w:hAnsi="宋体"/>
          <w:b/>
          <w:bCs/>
          <w:szCs w:val="21"/>
        </w:rPr>
        <w:t>第十二条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2" w:firstLineChars="200"/>
        <w:rPr>
          <w:rFonts w:ascii="宋体" w:hAnsi="宋体"/>
          <w:b/>
          <w:bCs/>
          <w:szCs w:val="21"/>
        </w:rPr>
      </w:pPr>
      <w:r>
        <w:rPr>
          <w:rFonts w:hint="eastAsia" w:ascii="宋体" w:hAnsi="宋体"/>
          <w:b/>
          <w:bCs/>
          <w:szCs w:val="21"/>
        </w:rPr>
        <w:t>第十三条  乙方咨询服务工具要求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2" w:firstLineChars="200"/>
        <w:rPr>
          <w:rFonts w:ascii="宋体" w:hAnsi="宋体"/>
          <w:b/>
          <w:bCs/>
          <w:szCs w:val="21"/>
        </w:rPr>
      </w:pPr>
      <w:r>
        <w:rPr>
          <w:rFonts w:hint="eastAsia" w:ascii="宋体" w:hAnsi="宋体"/>
          <w:b/>
          <w:bCs/>
          <w:szCs w:val="21"/>
        </w:rPr>
        <w:t>第十四条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ascii="宋体" w:hAnsi="宋体"/>
          <w:b/>
          <w:bCs/>
          <w:szCs w:val="21"/>
        </w:rPr>
      </w:pPr>
      <w:r>
        <w:rPr>
          <w:rFonts w:hint="eastAsia" w:ascii="宋体" w:hAnsi="宋体"/>
          <w:b/>
          <w:bCs/>
          <w:szCs w:val="21"/>
        </w:rPr>
        <w:t xml:space="preserve">第十五条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号招标文件、乙方投标文件，国家和行业有关规范、规程和标准。</w:t>
      </w:r>
    </w:p>
    <w:p>
      <w:pPr>
        <w:ind w:firstLine="422" w:firstLineChars="200"/>
        <w:rPr>
          <w:rFonts w:ascii="宋体" w:hAnsi="宋体"/>
          <w:b/>
          <w:bCs/>
          <w:szCs w:val="21"/>
        </w:rPr>
      </w:pPr>
      <w:r>
        <w:rPr>
          <w:rFonts w:hint="eastAsia" w:ascii="宋体" w:hAnsi="宋体"/>
          <w:b/>
          <w:bCs/>
          <w:szCs w:val="21"/>
        </w:rPr>
        <w:t>第十六条  付款方式</w:t>
      </w:r>
    </w:p>
    <w:p>
      <w:pPr>
        <w:ind w:firstLine="420" w:firstLineChars="200"/>
        <w:rPr>
          <w:rFonts w:ascii="宋体" w:hAnsi="宋体"/>
          <w:szCs w:val="21"/>
        </w:rPr>
      </w:pPr>
      <w:r>
        <w:rPr>
          <w:rFonts w:hint="eastAsia" w:ascii="宋体" w:hAnsi="宋体"/>
          <w:szCs w:val="21"/>
        </w:rPr>
        <w:t>1、合同签订后15个工作日内，向中标人支付协议总金额50%的款项。</w:t>
      </w:r>
    </w:p>
    <w:p>
      <w:pPr>
        <w:ind w:firstLine="420" w:firstLineChars="200"/>
        <w:rPr>
          <w:rFonts w:ascii="宋体" w:hAnsi="宋体"/>
          <w:szCs w:val="21"/>
        </w:rPr>
      </w:pPr>
      <w:r>
        <w:rPr>
          <w:rFonts w:hint="eastAsia" w:ascii="宋体" w:hAnsi="宋体"/>
          <w:szCs w:val="21"/>
        </w:rPr>
        <w:t>2、中标人提交设计成果初稿，采购人组织内部评审后15个工作日内采购人向中标人支付合同总额的40％。</w:t>
      </w:r>
    </w:p>
    <w:p>
      <w:pPr>
        <w:ind w:firstLine="420" w:firstLineChars="200"/>
        <w:rPr>
          <w:rFonts w:ascii="宋体" w:hAnsi="宋体"/>
          <w:szCs w:val="21"/>
        </w:rPr>
      </w:pPr>
      <w:r>
        <w:rPr>
          <w:rFonts w:hint="eastAsia" w:ascii="宋体" w:hAnsi="宋体"/>
          <w:szCs w:val="21"/>
        </w:rPr>
        <w:t>3、中标人完成所有设计委托工作，项目设计成果验收通过后10个工作日内采购人向中标人支付合同总额的10％。</w:t>
      </w:r>
    </w:p>
    <w:p>
      <w:pPr>
        <w:ind w:firstLine="422" w:firstLineChars="200"/>
        <w:rPr>
          <w:rFonts w:ascii="宋体" w:hAnsi="宋体"/>
          <w:b/>
          <w:bCs/>
          <w:szCs w:val="21"/>
        </w:rPr>
      </w:pPr>
      <w:r>
        <w:rPr>
          <w:rFonts w:hint="eastAsia" w:ascii="宋体" w:hAnsi="宋体"/>
          <w:b/>
          <w:bCs/>
          <w:szCs w:val="21"/>
        </w:rPr>
        <w:t>第十七条  争议解决办法</w:t>
      </w:r>
    </w:p>
    <w:p>
      <w:pPr>
        <w:ind w:firstLine="420" w:firstLineChars="200"/>
        <w:rPr>
          <w:rFonts w:ascii="宋体" w:hAnsi="宋体"/>
          <w:szCs w:val="21"/>
        </w:rPr>
      </w:pPr>
      <w:r>
        <w:rPr>
          <w:rFonts w:hint="eastAsia" w:ascii="宋体" w:hAnsi="宋体"/>
          <w:szCs w:val="21"/>
        </w:rPr>
        <w:t>执行本合同发生的争议，由甲乙双方协商解决。</w:t>
      </w:r>
    </w:p>
    <w:p>
      <w:pPr>
        <w:ind w:firstLine="422" w:firstLineChars="200"/>
        <w:rPr>
          <w:rFonts w:ascii="宋体" w:hAnsi="宋体"/>
          <w:b/>
          <w:bCs/>
          <w:szCs w:val="21"/>
        </w:rPr>
      </w:pPr>
      <w:r>
        <w:rPr>
          <w:rFonts w:hint="eastAsia" w:ascii="宋体" w:hAnsi="宋体"/>
          <w:b/>
          <w:bCs/>
          <w:szCs w:val="21"/>
        </w:rPr>
        <w:t>第十八条  风险责任</w:t>
      </w:r>
    </w:p>
    <w:p>
      <w:pPr>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2、乙方在实施荷载试验过程中应对自身的安全生产负责，若由乙方原因发生的各种事故甲方不承担任何责任。</w:t>
      </w:r>
    </w:p>
    <w:p>
      <w:pPr>
        <w:ind w:firstLine="422" w:firstLineChars="200"/>
        <w:rPr>
          <w:rFonts w:ascii="宋体" w:hAnsi="宋体"/>
          <w:b/>
          <w:bCs/>
          <w:szCs w:val="21"/>
        </w:rPr>
      </w:pPr>
      <w:r>
        <w:rPr>
          <w:rFonts w:hint="eastAsia" w:ascii="宋体" w:hAnsi="宋体"/>
          <w:b/>
          <w:bCs/>
          <w:szCs w:val="21"/>
        </w:rPr>
        <w:t>第十九条  违约责任</w:t>
      </w:r>
    </w:p>
    <w:p>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3、如乙方提供的咨询服务文件不符合质量要求，必须在甲方提出要求后7天内无条件修改，其费用由乙方承担。</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2" w:firstLineChars="200"/>
        <w:rPr>
          <w:rFonts w:ascii="宋体" w:hAnsi="宋体"/>
          <w:b/>
          <w:bCs/>
          <w:szCs w:val="21"/>
        </w:rPr>
      </w:pPr>
      <w:r>
        <w:rPr>
          <w:rFonts w:hint="eastAsia" w:ascii="宋体" w:hAnsi="宋体"/>
          <w:b/>
          <w:bCs/>
          <w:szCs w:val="21"/>
        </w:rPr>
        <w:t>第二十条  其他</w:t>
      </w:r>
    </w:p>
    <w:p>
      <w:pPr>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号招标文件、乙方投标文件如有抵触之处，以本合同条款为准。</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rPr>
          <w:rFonts w:ascii="宋体" w:hAnsi="宋体"/>
          <w:szCs w:val="21"/>
          <w:u w:val="single"/>
        </w:rPr>
      </w:pPr>
      <w:r>
        <w:rPr>
          <w:rFonts w:hint="eastAsia" w:ascii="宋体" w:hAnsi="宋体"/>
          <w:szCs w:val="21"/>
        </w:rPr>
        <w:t>甲方：</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pPr>
        <w:ind w:firstLine="1890" w:firstLineChars="900"/>
        <w:rPr>
          <w:rFonts w:ascii="宋体" w:hAnsi="宋体"/>
          <w:szCs w:val="21"/>
        </w:rPr>
      </w:pPr>
      <w:r>
        <w:rPr>
          <w:rFonts w:hint="eastAsia" w:ascii="宋体" w:hAnsi="宋体"/>
          <w:szCs w:val="21"/>
        </w:rPr>
        <w:t xml:space="preserve">（签章）                 </w:t>
      </w:r>
      <w:r>
        <w:rPr>
          <w:rFonts w:ascii="宋体" w:hAnsi="宋体"/>
          <w:szCs w:val="21"/>
        </w:rPr>
        <w:t xml:space="preserve">        </w:t>
      </w:r>
      <w:r>
        <w:rPr>
          <w:rFonts w:hint="eastAsia" w:ascii="宋体" w:hAnsi="宋体"/>
          <w:szCs w:val="21"/>
        </w:rPr>
        <w:t xml:space="preserve">        （签章）</w:t>
      </w:r>
    </w:p>
    <w:p>
      <w:pPr>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p>
    <w:p>
      <w:pPr>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pPr>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pPr>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pPr>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pPr>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pPr>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pPr>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pStyle w:val="4"/>
        <w:jc w:val="center"/>
        <w:rPr>
          <w:rFonts w:ascii="黑体" w:eastAsia="黑体"/>
          <w:kern w:val="0"/>
          <w:sz w:val="24"/>
          <w:szCs w:val="24"/>
        </w:rPr>
      </w:pPr>
      <w:r>
        <w:rPr>
          <w:rFonts w:hint="eastAsia" w:ascii="黑体" w:eastAsia="黑体"/>
          <w:kern w:val="0"/>
          <w:sz w:val="24"/>
          <w:szCs w:val="24"/>
        </w:rPr>
        <w:t>二、政府采购履约情况反馈表</w:t>
      </w:r>
    </w:p>
    <w:p>
      <w:pPr>
        <w:spacing w:line="240" w:lineRule="atLeast"/>
        <w:rPr>
          <w:rFonts w:ascii="宋体" w:hAnsi="宋体"/>
          <w:b/>
          <w:szCs w:val="21"/>
        </w:rPr>
      </w:pPr>
      <w:r>
        <w:rPr>
          <w:rFonts w:hint="eastAsia" w:ascii="宋体" w:hAnsi="宋体"/>
          <w:b/>
          <w:szCs w:val="21"/>
        </w:rPr>
        <w:t>采购人名称：                       联系人及电话：</w:t>
      </w:r>
    </w:p>
    <w:p>
      <w:pPr>
        <w:spacing w:line="60" w:lineRule="exact"/>
        <w:rPr>
          <w:rFonts w:ascii="宋体" w:hAnsi="宋体"/>
          <w:b/>
          <w:szCs w:val="21"/>
        </w:rPr>
      </w:pPr>
    </w:p>
    <w:tbl>
      <w:tblPr>
        <w:tblStyle w:val="42"/>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采购项目名称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项目编号</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中标供应商名称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供应商</w:t>
            </w:r>
          </w:p>
          <w:p>
            <w:pPr>
              <w:spacing w:line="240" w:lineRule="atLeast"/>
              <w:jc w:val="center"/>
              <w:rPr>
                <w:rFonts w:ascii="宋体" w:hAnsi="宋体"/>
                <w:szCs w:val="21"/>
              </w:rPr>
            </w:pPr>
            <w:r>
              <w:rPr>
                <w:rFonts w:hint="eastAsia" w:ascii="宋体" w:hAnsi="宋体"/>
                <w:szCs w:val="21"/>
              </w:rPr>
              <w:t>联系人及电话</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中标金额</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合同履约时间</w:t>
            </w:r>
          </w:p>
        </w:tc>
        <w:tc>
          <w:tcPr>
            <w:tcW w:w="2135" w:type="dxa"/>
            <w:vAlign w:val="center"/>
          </w:tcPr>
          <w:p>
            <w:pPr>
              <w:spacing w:line="240" w:lineRule="atLeast"/>
              <w:rPr>
                <w:rFonts w:ascii="宋体" w:hAnsi="宋体"/>
                <w:szCs w:val="21"/>
              </w:rPr>
            </w:pPr>
            <w:r>
              <w:rPr>
                <w:rFonts w:hint="eastAsia" w:ascii="宋体" w:hAnsi="宋体"/>
                <w:szCs w:val="21"/>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spacing w:line="240" w:lineRule="atLeast"/>
              <w:jc w:val="center"/>
              <w:rPr>
                <w:rFonts w:ascii="宋体" w:hAnsi="宋体"/>
                <w:b/>
                <w:szCs w:val="21"/>
              </w:rPr>
            </w:pPr>
            <w:r>
              <w:rPr>
                <w:rFonts w:hint="eastAsia" w:ascii="宋体" w:hAnsi="宋体"/>
                <w:b/>
                <w:szCs w:val="21"/>
              </w:rPr>
              <w:t>履约情况评价</w:t>
            </w:r>
          </w:p>
        </w:tc>
        <w:tc>
          <w:tcPr>
            <w:tcW w:w="1440" w:type="dxa"/>
            <w:gridSpan w:val="2"/>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pPr>
              <w:spacing w:line="240" w:lineRule="atLeast"/>
              <w:ind w:firstLine="105" w:firstLineChars="50"/>
              <w:jc w:val="center"/>
              <w:rPr>
                <w:rFonts w:ascii="宋体" w:hAnsi="宋体"/>
                <w:szCs w:val="21"/>
              </w:rPr>
            </w:pPr>
            <w:r>
              <w:rPr>
                <w:rFonts w:hint="eastAsia" w:ascii="宋体" w:hAnsi="宋体"/>
                <w:szCs w:val="21"/>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restart"/>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pPr>
              <w:spacing w:beforeLines="50" w:afterLines="50" w:line="240" w:lineRule="atLeast"/>
              <w:rPr>
                <w:rFonts w:ascii="宋体" w:hAnsi="宋体"/>
                <w:szCs w:val="21"/>
                <w:u w:val="single"/>
              </w:rPr>
            </w:pPr>
            <w:r>
              <w:rPr>
                <w:rFonts w:hint="eastAsia" w:ascii="宋体" w:hAnsi="宋体"/>
                <w:szCs w:val="21"/>
              </w:rPr>
              <w:t>评价内容为：</w:t>
            </w:r>
            <w:r>
              <w:rPr>
                <w:rFonts w:hint="eastAsia" w:ascii="宋体" w:hAnsi="宋体"/>
                <w:szCs w:val="21"/>
                <w:u w:val="single"/>
              </w:rPr>
              <w:t xml:space="preserve">                    </w:t>
            </w:r>
          </w:p>
          <w:p>
            <w:pPr>
              <w:spacing w:beforeLines="50" w:afterLines="50" w:line="240" w:lineRule="atLeast"/>
              <w:rPr>
                <w:rFonts w:ascii="宋体" w:hAnsi="宋体"/>
                <w:szCs w:val="21"/>
              </w:rPr>
            </w:pPr>
            <w:r>
              <w:rPr>
                <w:rFonts w:hint="eastAsia" w:ascii="宋体" w:hAnsi="宋体"/>
                <w:szCs w:val="21"/>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具体情况说明</w:t>
            </w:r>
          </w:p>
        </w:tc>
        <w:tc>
          <w:tcPr>
            <w:tcW w:w="7355" w:type="dxa"/>
            <w:gridSpan w:val="4"/>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采购人意见</w:t>
            </w:r>
          </w:p>
          <w:p>
            <w:pPr>
              <w:spacing w:line="240" w:lineRule="atLeast"/>
              <w:jc w:val="center"/>
              <w:rPr>
                <w:rFonts w:ascii="宋体" w:hAnsi="宋体"/>
                <w:szCs w:val="21"/>
              </w:rPr>
            </w:pPr>
            <w:r>
              <w:rPr>
                <w:rFonts w:hint="eastAsia" w:ascii="宋体" w:hAnsi="宋体"/>
                <w:szCs w:val="21"/>
              </w:rPr>
              <w:t>（公章）</w:t>
            </w:r>
          </w:p>
        </w:tc>
        <w:tc>
          <w:tcPr>
            <w:tcW w:w="7355" w:type="dxa"/>
            <w:gridSpan w:val="4"/>
            <w:vAlign w:val="center"/>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 xml:space="preserve">                                        </w:t>
            </w:r>
          </w:p>
          <w:p>
            <w:pPr>
              <w:spacing w:line="240" w:lineRule="atLeast"/>
              <w:ind w:firstLine="3780" w:firstLineChars="1800"/>
              <w:rPr>
                <w:rFonts w:ascii="宋体" w:hAnsi="宋体"/>
                <w:szCs w:val="21"/>
              </w:rPr>
            </w:pPr>
          </w:p>
          <w:p>
            <w:pPr>
              <w:spacing w:line="240" w:lineRule="atLeast"/>
              <w:ind w:firstLine="3780" w:firstLineChars="1800"/>
              <w:rPr>
                <w:rFonts w:ascii="宋体" w:hAnsi="宋体"/>
                <w:szCs w:val="21"/>
              </w:rPr>
            </w:pPr>
            <w:r>
              <w:rPr>
                <w:rFonts w:hint="eastAsia" w:ascii="宋体" w:hAnsi="宋体"/>
                <w:szCs w:val="21"/>
              </w:rPr>
              <w:t>日期：   年   月   日</w:t>
            </w:r>
          </w:p>
        </w:tc>
      </w:tr>
    </w:tbl>
    <w:p>
      <w:pPr>
        <w:spacing w:line="240" w:lineRule="atLeast"/>
        <w:rPr>
          <w:rFonts w:ascii="宋体" w:hAnsi="宋体"/>
          <w:szCs w:val="21"/>
        </w:rPr>
      </w:pPr>
      <w:r>
        <w:rPr>
          <w:rFonts w:hint="eastAsia" w:ascii="宋体" w:hAnsi="宋体"/>
          <w:szCs w:val="21"/>
        </w:rPr>
        <w:t>说明：</w:t>
      </w:r>
    </w:p>
    <w:p>
      <w:pPr>
        <w:spacing w:line="240" w:lineRule="atLeast"/>
        <w:rPr>
          <w:rFonts w:ascii="宋体" w:hAnsi="宋体"/>
          <w:szCs w:val="21"/>
        </w:rPr>
      </w:pPr>
      <w:r>
        <w:rPr>
          <w:rFonts w:hint="eastAsia" w:ascii="宋体" w:hAnsi="宋体"/>
          <w:szCs w:val="21"/>
        </w:rPr>
        <w:t>1、本表为采购人向三方诚信招标有限公司反映政府采购项目履约情况时所用；</w:t>
      </w:r>
    </w:p>
    <w:p>
      <w:pPr>
        <w:spacing w:line="240" w:lineRule="atLeast"/>
        <w:rPr>
          <w:rFonts w:ascii="宋体" w:hAnsi="宋体"/>
          <w:szCs w:val="21"/>
        </w:rPr>
      </w:pPr>
      <w:r>
        <w:rPr>
          <w:rFonts w:hint="eastAsia" w:ascii="宋体" w:hAnsi="宋体"/>
          <w:szCs w:val="21"/>
        </w:rPr>
        <w:t>2、履约情况评价分为优、良、中、差四个等级，请在对应的框前打“√”，然后在“具体情况说明”一栏详细说明有关情况。</w:t>
      </w:r>
    </w:p>
    <w:p>
      <w:pPr>
        <w:widowControl/>
        <w:jc w:val="left"/>
        <w:rPr>
          <w:rFonts w:ascii="宋体" w:hAnsi="宋体"/>
          <w:szCs w:val="21"/>
        </w:rPr>
      </w:pPr>
      <w:r>
        <w:rPr>
          <w:rFonts w:ascii="宋体" w:hAnsi="宋体"/>
          <w:szCs w:val="21"/>
        </w:rPr>
        <w:br w:type="page"/>
      </w:r>
    </w:p>
    <w:p>
      <w:pPr>
        <w:pStyle w:val="5"/>
        <w:spacing w:beforeLines="50" w:afterLines="50"/>
        <w:ind w:left="562"/>
        <w:rPr>
          <w:sz w:val="28"/>
          <w:szCs w:val="28"/>
        </w:rPr>
      </w:pPr>
      <w:r>
        <w:rPr>
          <w:rFonts w:hint="eastAsia"/>
          <w:sz w:val="28"/>
          <w:szCs w:val="28"/>
        </w:rPr>
        <w:t>第二册  通用条款（公开招标）</w:t>
      </w:r>
    </w:p>
    <w:p>
      <w:pPr>
        <w:pStyle w:val="5"/>
        <w:numPr>
          <w:ilvl w:val="0"/>
          <w:numId w:val="10"/>
        </w:numPr>
        <w:spacing w:beforeLines="50" w:afterLines="50"/>
        <w:ind w:left="562" w:hanging="562"/>
        <w:rPr>
          <w:sz w:val="28"/>
          <w:szCs w:val="28"/>
        </w:rPr>
      </w:pPr>
      <w:r>
        <w:rPr>
          <w:rFonts w:hint="eastAsia"/>
          <w:sz w:val="28"/>
          <w:szCs w:val="28"/>
        </w:rPr>
        <w:t>总则</w:t>
      </w:r>
    </w:p>
    <w:p>
      <w:pPr>
        <w:rPr>
          <w:rFonts w:ascii="黑体" w:hAnsi="宋体" w:eastAsia="黑体"/>
          <w:sz w:val="24"/>
        </w:rPr>
      </w:pPr>
      <w:r>
        <w:rPr>
          <w:rFonts w:hint="eastAsia" w:ascii="黑体" w:hAnsi="宋体" w:eastAsia="黑体"/>
          <w:sz w:val="24"/>
        </w:rPr>
        <w:t>1.通用条款说明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1.1政府集中采购机构发出招标文件通用条款版本，列出深圳市政府采购项目进行招标采购所适用的通用条款内容。如有需要，政府集中采购机构可以随这些条款增加附录或补充内容。</w:t>
      </w:r>
    </w:p>
    <w:p>
      <w:pPr>
        <w:ind w:firstLine="411" w:firstLineChars="196"/>
        <w:rPr>
          <w:rFonts w:ascii="宋体" w:hAnsi="宋体"/>
          <w:szCs w:val="21"/>
        </w:rPr>
      </w:pPr>
      <w:r>
        <w:rPr>
          <w:rFonts w:hint="eastAsia" w:ascii="宋体" w:hAnsi="宋体"/>
          <w:szCs w:val="21"/>
        </w:rPr>
        <w:t>1.2本招标文件分为第一册“专用条款”和第二册“通用条款”。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1.3“专用条款”是对本次采购项目的具体要求，包含投标人资格要求、招标项目需求、投标文件格式、附件等内容。</w:t>
      </w:r>
    </w:p>
    <w:p>
      <w:pPr>
        <w:ind w:firstLine="411" w:firstLineChars="196"/>
        <w:rPr>
          <w:rFonts w:ascii="宋体" w:hAnsi="宋体"/>
          <w:szCs w:val="21"/>
        </w:rPr>
      </w:pPr>
      <w:r>
        <w:rPr>
          <w:rFonts w:hint="eastAsia" w:ascii="宋体" w:hAnsi="宋体"/>
          <w:szCs w:val="21"/>
        </w:rPr>
        <w:t>1.4“通用条款”是通用于政府采购项目的基础性条款，具有普遍性和通用性。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本项目按照《深圳经济特区政府采购条例》、《深圳经济特区政府采购条例实施细则》等规定，并参考有关法规，通过招标选定供应商。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“政府集中采购机构”</w:t>
      </w:r>
      <w:r>
        <w:rPr>
          <w:rFonts w:hint="eastAsia" w:ascii="Arial" w:hAnsi="Arial" w:cs="Arial"/>
          <w:szCs w:val="21"/>
          <w:shd w:val="clear" w:color="auto" w:fill="FFFFFF"/>
        </w:rPr>
        <w:t>是指市政府设立的，对纳入集中采购目录内的采购项目组织实施采购，并对政府采购活动提供服务的专门机构；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szCs w:val="21"/>
        </w:rPr>
        <w:t>三方诚信招标有限公司；</w:t>
      </w:r>
    </w:p>
    <w:p>
      <w:pPr>
        <w:ind w:firstLine="411" w:firstLineChars="196"/>
        <w:rPr>
          <w:rFonts w:ascii="宋体" w:hAnsi="宋体"/>
          <w:szCs w:val="21"/>
        </w:rPr>
      </w:pPr>
      <w:r>
        <w:rPr>
          <w:rFonts w:hint="eastAsia" w:ascii="宋体" w:hAnsi="宋体"/>
          <w:szCs w:val="21"/>
        </w:rPr>
        <w:t xml:space="preserve">3.2“采购人”或“招标人”：指利用财政性资金依法进行政府采购的国家机关、事业单位、团体组织； </w:t>
      </w:r>
    </w:p>
    <w:p>
      <w:pPr>
        <w:ind w:firstLine="411" w:firstLineChars="196"/>
        <w:rPr>
          <w:rFonts w:ascii="宋体" w:hAnsi="宋体"/>
          <w:szCs w:val="21"/>
        </w:rPr>
      </w:pPr>
      <w:r>
        <w:rPr>
          <w:rFonts w:hint="eastAsia" w:ascii="宋体" w:hAnsi="宋体"/>
          <w:szCs w:val="21"/>
        </w:rPr>
        <w:t>3.3“投标人”或“投标方”，即供应商，指参加投标竞争并愿意按照招标文件要求向采购人提供货物、工程或者服务的依法成立的法人、其他组织或者自然人；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3.4“评审委员会”和“谈判小组”是依据《深圳经济特区政府采购条例》、《深圳经济特区政府采购条例实施细则》等有关规定组建的专门负责本次招标其评标（谈判）工作的临时性机构；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3.7“电子投标文件”指利用深圳市政府采购网提供的投标书加密软件加密的投标文件，适用于网上投标；（此投标书加密软件可从</w:t>
      </w:r>
      <w:r>
        <w:fldChar w:fldCharType="begin"/>
      </w:r>
      <w:r>
        <w:instrText xml:space="preserve"> HYPERLINK "http://www.szzfcg.cn" </w:instrText>
      </w:r>
      <w:r>
        <w:fldChar w:fldCharType="separate"/>
      </w:r>
      <w:r>
        <w:rPr>
          <w:rStyle w:val="49"/>
          <w:rFonts w:hint="default"/>
          <w:szCs w:val="21"/>
        </w:rPr>
        <w:t>www.cgzx.sz.gov.cn</w:t>
      </w:r>
      <w:r>
        <w:rPr>
          <w:rStyle w:val="49"/>
          <w:rFonts w:hint="default"/>
          <w:szCs w:val="21"/>
        </w:rPr>
        <w:fldChar w:fldCharType="end"/>
      </w:r>
      <w:r>
        <w:rPr>
          <w:rFonts w:hint="eastAsia" w:ascii="宋体" w:hAnsi="宋体"/>
          <w:szCs w:val="21"/>
        </w:rPr>
        <w:t>网站“相关软件”栏目中下载）</w:t>
      </w:r>
    </w:p>
    <w:p>
      <w:pPr>
        <w:ind w:firstLine="411" w:firstLineChars="196"/>
        <w:rPr>
          <w:rFonts w:ascii="宋体" w:hAnsi="宋体"/>
          <w:szCs w:val="21"/>
        </w:rPr>
      </w:pPr>
      <w:r>
        <w:rPr>
          <w:rFonts w:hint="eastAsia" w:ascii="宋体" w:hAnsi="宋体"/>
          <w:szCs w:val="21"/>
        </w:rPr>
        <w:t>3.8“网上投标”指通过深圳市政府采购网上传电子投标文件；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4. 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rPr>
          <w:rFonts w:ascii="宋体" w:hAnsi="宋体"/>
          <w:szCs w:val="21"/>
        </w:rPr>
      </w:pPr>
      <w:r>
        <w:rPr>
          <w:rFonts w:hint="eastAsia" w:ascii="宋体" w:hAnsi="宋体"/>
          <w:szCs w:val="21"/>
        </w:rPr>
        <w:t>5.1投标人应在投标前到政府集中采购机构进行注册。《</w:t>
      </w:r>
      <w:r>
        <w:fldChar w:fldCharType="begin"/>
      </w:r>
      <w:r>
        <w:instrText xml:space="preserve"> HYPERLINK "http://www.szzfcg.cn/viewer.do?id=2455258" \t "documentViewer2455258" </w:instrText>
      </w:r>
      <w:r>
        <w:fldChar w:fldCharType="separate"/>
      </w:r>
      <w:r>
        <w:rPr>
          <w:rFonts w:ascii="宋体" w:hAnsi="宋体"/>
          <w:szCs w:val="21"/>
        </w:rPr>
        <w:t>供应商注册及电子密钥新申请指引</w:t>
      </w:r>
      <w:r>
        <w:rPr>
          <w:rFonts w:ascii="宋体" w:hAnsi="宋体"/>
          <w:szCs w:val="21"/>
        </w:rPr>
        <w:fldChar w:fldCharType="end"/>
      </w:r>
      <w:r>
        <w:rPr>
          <w:rFonts w:hint="eastAsia" w:ascii="宋体" w:hAnsi="宋体"/>
          <w:szCs w:val="21"/>
        </w:rPr>
        <w:t>》详见</w:t>
      </w:r>
      <w:r>
        <w:t>http://cgzx.sz.gov.cn/</w:t>
      </w:r>
      <w:r>
        <w:rPr>
          <w:rFonts w:hint="eastAsia" w:ascii="宋体" w:hAnsi="宋体"/>
          <w:szCs w:val="21"/>
        </w:rPr>
        <w:t>。</w:t>
      </w:r>
    </w:p>
    <w:p>
      <w:pPr>
        <w:ind w:firstLine="411" w:firstLineChars="196"/>
        <w:rPr>
          <w:rFonts w:ascii="宋体" w:hAnsi="宋体"/>
          <w:szCs w:val="21"/>
        </w:rPr>
      </w:pPr>
      <w:r>
        <w:rPr>
          <w:rFonts w:hint="eastAsia" w:ascii="宋体" w:hAnsi="宋体"/>
          <w:szCs w:val="21"/>
        </w:rPr>
        <w:t>5.2投标人的资格要求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（2）投标联合体各方必须有一方先行注册成深圳市政府采购中心供应商；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（4）是否允许联合体参加投标，应当由采购人和采购代理机构根据项目的实际情况和潜在供应商的数量自主决定，如果决定接受联合体投标则应当在采购公告中明示。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（6）联合体各方应当签订共同投标协议，明确约定各方拟承担的工作和责任，并将该共同投标协议随投标文件一并递交给政府集中采购机构；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spacing w:line="400" w:lineRule="exact"/>
        <w:ind w:firstLine="315" w:firstLineChars="150"/>
        <w:rPr>
          <w:bCs/>
          <w:szCs w:val="21"/>
        </w:rPr>
      </w:pPr>
      <w:r>
        <w:rPr>
          <w:rFonts w:hint="eastAsia"/>
          <w:bCs/>
          <w:szCs w:val="21"/>
        </w:rPr>
        <w:t>6.1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ind w:firstLine="405"/>
        <w:rPr>
          <w:shd w:val="clear" w:color="auto" w:fill="FFFFFF"/>
        </w:rPr>
      </w:pPr>
      <w:r>
        <w:rPr>
          <w:rFonts w:hint="eastAsia"/>
          <w:shd w:val="clear" w:color="auto" w:fill="FFFFFF"/>
        </w:rPr>
        <w:t xml:space="preserve">6.2 </w:t>
      </w:r>
      <w:r>
        <w:rPr>
          <w:rFonts w:hint="eastAsia" w:ascii="宋体" w:hAnsi="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rPr>
          <w:rFonts w:ascii="黑体" w:hAnsi="宋体" w:eastAsia="黑体"/>
          <w:sz w:val="24"/>
        </w:rPr>
      </w:pPr>
      <w:r>
        <w:rPr>
          <w:rFonts w:hint="eastAsia" w:ascii="黑体" w:hAnsi="宋体" w:eastAsia="黑体"/>
          <w:sz w:val="24"/>
        </w:rPr>
        <w:t>7.本项目若涉及采购货物，则合格的货物及相应服务应满足以下要求：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对工期的要求：投标人在投标时对其所投项目应提交交货进度、交货计划等，在合同规定的时间内完工验收。</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政府集中采购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pPr>
        <w:ind w:firstLine="411" w:firstLineChars="196"/>
        <w:rPr>
          <w:rFonts w:ascii="宋体" w:hAnsi="宋体"/>
        </w:rPr>
      </w:pPr>
      <w:r>
        <w:rPr>
          <w:rFonts w:hint="eastAsia" w:ascii="宋体" w:hAnsi="宋体"/>
        </w:rPr>
        <w:t>9.2投标人及其人员经过采购人的允许，可以踏勘目的进入采购人的项目现场。若招标文件要求投标人于统一时间地点踏勘现场的，投标人应当按时前往。</w:t>
      </w:r>
    </w:p>
    <w:p>
      <w:pPr>
        <w:ind w:firstLine="411" w:firstLineChars="196"/>
        <w:rPr>
          <w:rFonts w:ascii="宋体" w:hAnsi="宋体"/>
        </w:rPr>
      </w:pPr>
      <w:r>
        <w:rPr>
          <w:rFonts w:hint="eastAsia" w:ascii="宋体" w:hAnsi="宋体"/>
        </w:rPr>
        <w:t>9.3采购人必须通过政府集中采购机构向投标人提供有关现场的资料和数据。</w:t>
      </w:r>
    </w:p>
    <w:p>
      <w:pPr>
        <w:ind w:firstLine="411" w:firstLineChars="196"/>
        <w:rPr>
          <w:rFonts w:ascii="宋体" w:hAnsi="宋体"/>
        </w:rPr>
      </w:pPr>
      <w:r>
        <w:rPr>
          <w:rFonts w:hint="eastAsia" w:ascii="宋体" w:hAnsi="宋体"/>
        </w:rPr>
        <w:t>9.4任何人或任何组织在踏勘现场时向投标人提交的任何书面资料或口头承诺，未经政府集中采购机构在网上发布或书面通知，均作无效处理。</w:t>
      </w:r>
    </w:p>
    <w:p>
      <w:pPr>
        <w:rPr>
          <w:rFonts w:ascii="黑体" w:hAnsi="宋体" w:eastAsia="黑体"/>
          <w:sz w:val="24"/>
        </w:rPr>
      </w:pPr>
      <w:r>
        <w:rPr>
          <w:rFonts w:hint="eastAsia" w:ascii="黑体" w:hAnsi="宋体" w:eastAsia="黑体"/>
          <w:sz w:val="24"/>
        </w:rPr>
        <w:t>10．招标答疑</w:t>
      </w:r>
    </w:p>
    <w:p>
      <w:pPr>
        <w:ind w:firstLine="411" w:firstLineChars="196"/>
        <w:rPr>
          <w:rFonts w:ascii="宋体" w:hAnsi="宋体"/>
          <w:szCs w:val="21"/>
        </w:rPr>
      </w:pPr>
      <w:r>
        <w:rPr>
          <w:rFonts w:hint="eastAsia" w:ascii="宋体" w:hAnsi="宋体"/>
          <w:szCs w:val="21"/>
        </w:rPr>
        <w:t>10.1招标答疑的目的是澄清、解答投标人在查阅招标文件后或现场踏勘中可能提出的与投标有关的疑问或询问。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10.2投标人如对招标文件内容有疑问，必须在招标文件规定的答疑截止时间前以网上提问形式提交集中采购机构。</w:t>
      </w:r>
    </w:p>
    <w:p>
      <w:pPr>
        <w:ind w:firstLine="411" w:firstLineChars="196"/>
        <w:rPr>
          <w:rFonts w:ascii="宋体" w:hAnsi="宋体"/>
          <w:szCs w:val="21"/>
        </w:rPr>
      </w:pPr>
      <w:r>
        <w:rPr>
          <w:rFonts w:hint="eastAsia" w:ascii="宋体" w:hAnsi="宋体"/>
          <w:szCs w:val="21"/>
        </w:rPr>
        <w:t>10.3政府集中采购机构对疑问所做出的澄清和解答，以书面答复（包括网站发布信息）为准。答疑纪要的有效性规定按照本通用条款第13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pPr>
        <w:ind w:firstLine="411" w:firstLineChars="196"/>
        <w:rPr>
          <w:rFonts w:ascii="宋体" w:hAnsi="宋体"/>
          <w:szCs w:val="21"/>
        </w:rPr>
      </w:pPr>
      <w:r>
        <w:rPr>
          <w:rFonts w:hint="eastAsia" w:ascii="宋体" w:hAnsi="宋体"/>
          <w:szCs w:val="21"/>
        </w:rPr>
        <w:t>10.4如政府集中采购机构认为有必要组织现场答疑会，投标人应按照招标文件规定的时间或集中采购机构另行书面通知（包括网站发布的通知）的时间和地点，参与现场答疑会。</w:t>
      </w:r>
    </w:p>
    <w:p>
      <w:pPr>
        <w:ind w:firstLine="411" w:firstLineChars="196"/>
        <w:rPr>
          <w:rFonts w:ascii="宋体" w:hAnsi="宋体"/>
          <w:szCs w:val="21"/>
        </w:rPr>
      </w:pPr>
      <w:r>
        <w:rPr>
          <w:rFonts w:hint="eastAsia" w:ascii="宋体" w:hAnsi="宋体"/>
          <w:szCs w:val="21"/>
        </w:rPr>
        <w:t>10.5未参与招标答疑不作为否定投标人资格的理由。</w:t>
      </w:r>
    </w:p>
    <w:p>
      <w:pPr>
        <w:ind w:firstLine="411" w:firstLineChars="196"/>
        <w:rPr>
          <w:rFonts w:ascii="宋体" w:hAnsi="宋体"/>
          <w:szCs w:val="21"/>
        </w:rPr>
      </w:pPr>
    </w:p>
    <w:p>
      <w:pPr>
        <w:ind w:firstLine="411" w:firstLineChars="196"/>
        <w:rPr>
          <w:rFonts w:ascii="宋体" w:hAnsi="宋体"/>
        </w:rPr>
      </w:pPr>
    </w:p>
    <w:p>
      <w:pPr>
        <w:pStyle w:val="5"/>
        <w:numPr>
          <w:ilvl w:val="0"/>
          <w:numId w:val="10"/>
        </w:numPr>
        <w:spacing w:beforeLines="50" w:afterLines="50"/>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11．招标文件的编制与组成</w:t>
      </w:r>
    </w:p>
    <w:p>
      <w:pPr>
        <w:snapToGrid w:val="0"/>
        <w:ind w:firstLine="420" w:firstLineChars="200"/>
        <w:rPr>
          <w:rFonts w:ascii="宋体" w:hAnsi="宋体"/>
          <w:szCs w:val="21"/>
        </w:rPr>
      </w:pPr>
      <w:r>
        <w:rPr>
          <w:rFonts w:hint="eastAsia" w:ascii="宋体" w:hAnsi="宋体"/>
          <w:szCs w:val="21"/>
        </w:rPr>
        <w:t>11.1招标文件除以下内容外，政府集中采购机构在招标（或谈判）期间发出的答疑、澄清或修改等相关公告或通知内容，均是招标文件的组成部分，对投标人起约束作用；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招标项目需求</w:t>
      </w:r>
    </w:p>
    <w:p>
      <w:pPr>
        <w:ind w:left="630" w:leftChars="300" w:firstLine="411" w:firstLineChars="196"/>
        <w:rPr>
          <w:rFonts w:ascii="宋体" w:hAnsi="宋体"/>
          <w:szCs w:val="21"/>
        </w:rPr>
      </w:pPr>
      <w:r>
        <w:rPr>
          <w:rFonts w:hint="eastAsia" w:ascii="宋体" w:hAnsi="宋体"/>
          <w:szCs w:val="21"/>
        </w:rPr>
        <w:t xml:space="preserve">第三章  </w:t>
      </w:r>
      <w:r>
        <w:rPr>
          <w:rFonts w:hint="eastAsia"/>
        </w:rPr>
        <w:t>投标文件格式、附件</w:t>
      </w:r>
    </w:p>
    <w:p>
      <w:pPr>
        <w:ind w:left="630" w:leftChars="300" w:firstLine="411" w:firstLineChars="196"/>
        <w:rPr>
          <w:rFonts w:ascii="宋体" w:hAnsi="宋体"/>
          <w:szCs w:val="21"/>
        </w:rPr>
      </w:pPr>
      <w:r>
        <w:rPr>
          <w:rFonts w:hint="eastAsia" w:ascii="宋体" w:hAnsi="宋体"/>
          <w:szCs w:val="21"/>
        </w:rPr>
        <w:t>第四章  合同及履约情况反馈格式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评标要求</w:t>
      </w:r>
    </w:p>
    <w:p>
      <w:pPr>
        <w:ind w:left="630" w:leftChars="300" w:firstLine="411" w:firstLineChars="196"/>
        <w:rPr>
          <w:rFonts w:ascii="宋体" w:hAnsi="宋体"/>
          <w:szCs w:val="21"/>
        </w:rPr>
      </w:pPr>
      <w:r>
        <w:rPr>
          <w:rFonts w:hint="eastAsia" w:ascii="宋体" w:hAnsi="宋体"/>
          <w:szCs w:val="21"/>
        </w:rPr>
        <w:t>第七章  评标程序及评标方法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left="630" w:leftChars="300" w:firstLine="411" w:firstLineChars="196"/>
        <w:rPr>
          <w:rFonts w:ascii="宋体" w:hAnsi="宋体"/>
          <w:szCs w:val="21"/>
        </w:rPr>
      </w:pPr>
    </w:p>
    <w:p>
      <w:pPr>
        <w:ind w:firstLine="411" w:firstLineChars="196"/>
        <w:rPr>
          <w:rFonts w:ascii="宋体" w:hAnsi="宋体"/>
          <w:szCs w:val="21"/>
        </w:rPr>
      </w:pPr>
      <w:r>
        <w:rPr>
          <w:rFonts w:hint="eastAsia" w:ascii="宋体" w:hAnsi="宋体"/>
          <w:szCs w:val="21"/>
        </w:rPr>
        <w:t>11.2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12．招标文件的澄清</w:t>
      </w:r>
    </w:p>
    <w:p>
      <w:pPr>
        <w:snapToGrid w:val="0"/>
        <w:ind w:firstLine="420" w:firstLineChars="200"/>
        <w:rPr>
          <w:rFonts w:ascii="宋体" w:hAnsi="宋体"/>
          <w:szCs w:val="21"/>
        </w:rPr>
      </w:pPr>
      <w:r>
        <w:rPr>
          <w:rFonts w:hint="eastAsia" w:ascii="宋体" w:hAnsi="宋体"/>
          <w:szCs w:val="21"/>
        </w:rPr>
        <w:t>12.1投标人如对招标文件内容有疑问，必须在招标文件规定的答疑截止时间前以网上提问形式提交给集中采购机构。不论是政府集中采购机构根据需要主动对招标文件进行必要的澄清或是根据投标人的要求对招标文件做出澄清，政府集中采购机构都将在投标截止日期前以书面形式（包括政府集中采购机构网站公开发布方式）答复或发送给所有投标人。澄清纪要作为招标文件的组成部分，对投标人起约束作用；</w:t>
      </w:r>
    </w:p>
    <w:p>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rPr>
        <w:t>招标文件（含澄清纪要）</w:t>
      </w:r>
      <w:r>
        <w:rPr>
          <w:rFonts w:hint="eastAsia" w:ascii="宋体" w:hAnsi="宋体"/>
          <w:szCs w:val="21"/>
        </w:rPr>
        <w:t>，投标截止期后不再受理针对招标文件的相关质疑或投诉。</w:t>
      </w:r>
    </w:p>
    <w:p>
      <w:pPr>
        <w:snapToGrid w:val="0"/>
        <w:ind w:firstLine="420" w:firstLineChars="200"/>
        <w:rPr>
          <w:rFonts w:ascii="宋体" w:hAnsi="宋体"/>
          <w:szCs w:val="21"/>
        </w:rPr>
      </w:pPr>
      <w:r>
        <w:rPr>
          <w:rFonts w:hint="eastAsia" w:ascii="宋体" w:hAnsi="宋体"/>
          <w:szCs w:val="21"/>
        </w:rPr>
        <w:t>12.3 对招标文件中描述有歧意或前后不一致的地方，评审委员会有权进行评判，但对同一条款的评判应适用于每个投标人。</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3.2招标文件的修改以书面形式（包括网站公开发布方式）发送给所有投标人，招标文件的修改内容作为招标文件的组成部分，并具有约束力。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疑）纪要、招标文件修改补充通知内容均以书面（包括网站公开发布方式）明确的内容为准。当招标文件、修改补充通知、澄清（答疑）纪要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疑）纪要和招标文件修改补充通知在投标截止时间前以网站公开发布形式或书面形式发送给所有投标人。为使投标人在编写投标文件时有充分时间对招标文件的修改部分进行研究，政府集中采购机构可以酌情延长递交投标文件的截止日期，具体时间将在修改补充通知中明确。</w:t>
      </w:r>
    </w:p>
    <w:p>
      <w:pPr>
        <w:ind w:firstLine="411" w:firstLineChars="196"/>
        <w:rPr>
          <w:rFonts w:ascii="宋体" w:hAnsi="宋体"/>
          <w:szCs w:val="21"/>
        </w:rPr>
      </w:pPr>
    </w:p>
    <w:p>
      <w:pPr>
        <w:ind w:firstLine="411" w:firstLineChars="196"/>
        <w:rPr>
          <w:rFonts w:ascii="宋体" w:hAnsi="宋体"/>
          <w:szCs w:val="21"/>
        </w:rPr>
      </w:pPr>
    </w:p>
    <w:p>
      <w:pPr>
        <w:pStyle w:val="5"/>
        <w:numPr>
          <w:ilvl w:val="0"/>
          <w:numId w:val="10"/>
        </w:numPr>
        <w:spacing w:beforeLines="50" w:afterLines="50"/>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pPr>
        <w:rPr>
          <w:rFonts w:ascii="黑体" w:hAnsi="宋体" w:eastAsia="黑体"/>
          <w:sz w:val="24"/>
        </w:rPr>
      </w:pPr>
      <w:r>
        <w:rPr>
          <w:rFonts w:hint="eastAsia" w:ascii="黑体" w:hAnsi="宋体" w:eastAsia="黑体"/>
          <w:sz w:val="24"/>
        </w:rPr>
        <w:t>15．投标文件的组成</w:t>
      </w:r>
    </w:p>
    <w:p>
      <w:pPr>
        <w:ind w:firstLine="413" w:firstLineChars="196"/>
        <w:rPr>
          <w:rFonts w:ascii="宋体" w:hAnsi="宋体"/>
          <w:b/>
          <w:szCs w:val="21"/>
        </w:rPr>
      </w:pPr>
      <w:r>
        <w:rPr>
          <w:rFonts w:hint="eastAsia" w:ascii="宋体" w:hAnsi="宋体"/>
          <w:b/>
          <w:szCs w:val="21"/>
        </w:rPr>
        <w:t>具体内容请详见本项目</w:t>
      </w:r>
      <w:r>
        <w:rPr>
          <w:rFonts w:hint="eastAsia" w:ascii="宋体" w:hAnsi="宋体"/>
          <w:b/>
          <w:bCs/>
          <w:szCs w:val="21"/>
        </w:rPr>
        <w:t>招标文件第一册“专用条款”</w:t>
      </w:r>
      <w:r>
        <w:rPr>
          <w:rFonts w:hint="eastAsia" w:ascii="宋体" w:hAnsi="宋体"/>
          <w:b/>
          <w:szCs w:val="21"/>
        </w:rPr>
        <w:t>的相关内容。</w:t>
      </w:r>
    </w:p>
    <w:p>
      <w:pPr>
        <w:rPr>
          <w:rFonts w:ascii="黑体" w:hAnsi="宋体" w:eastAsia="黑体"/>
          <w:sz w:val="24"/>
        </w:rPr>
      </w:pPr>
      <w:r>
        <w:rPr>
          <w:rFonts w:hint="eastAsia"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（表格可以按同样格式扩展）。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本项目的投标应以人民币计。</w:t>
      </w:r>
    </w:p>
    <w:p>
      <w:pPr>
        <w:rPr>
          <w:rFonts w:ascii="黑体" w:hAnsi="宋体" w:eastAsia="黑体"/>
          <w:sz w:val="24"/>
        </w:rPr>
      </w:pPr>
      <w:r>
        <w:rPr>
          <w:rFonts w:hint="eastAsia" w:ascii="黑体" w:hAnsi="宋体" w:eastAsia="黑体"/>
          <w:sz w:val="24"/>
        </w:rPr>
        <w:t>18．证明投标文件投标技术方案的合格性和符合招标文件规定的文件要求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投标人应提交证明文件证明其投标技术方案项下的货物、工程和服务的合格性符合招标文件规定。该投标技术方案及其证明文件作为投标文件的一部分。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18.5为保证公平公正，除非另有规定或说明，投标人对同一项目投标时，不得同时提供两套或两套以上的投标方案。</w:t>
      </w:r>
    </w:p>
    <w:p>
      <w:pPr>
        <w:rPr>
          <w:rFonts w:ascii="黑体" w:hAnsi="宋体" w:eastAsia="黑体"/>
          <w:sz w:val="24"/>
        </w:rPr>
      </w:pPr>
      <w:r>
        <w:rPr>
          <w:rFonts w:hint="eastAsia" w:ascii="黑体" w:hAnsi="宋体" w:eastAsia="黑体"/>
          <w:sz w:val="24"/>
        </w:rPr>
        <w:t>19．投标文件其他证明文件的要求</w:t>
      </w:r>
    </w:p>
    <w:p>
      <w:pPr>
        <w:rPr>
          <w:rFonts w:ascii="宋体" w:hAnsi="宋体"/>
          <w:szCs w:val="21"/>
        </w:rPr>
      </w:pPr>
      <w:r>
        <w:rPr>
          <w:rFonts w:hint="eastAsia"/>
          <w:szCs w:val="21"/>
        </w:rPr>
        <w:t xml:space="preserve">   </w:t>
      </w:r>
      <w:r>
        <w:rPr>
          <w:rFonts w:hint="eastAsia" w:ascii="Arial" w:hAnsi="Arial" w:cs="Arial"/>
          <w:szCs w:val="21"/>
        </w:rPr>
        <w:t xml:space="preserve"> </w:t>
      </w:r>
      <w:r>
        <w:rPr>
          <w:rFonts w:hint="eastAsia" w:ascii="黑体" w:hAnsi="宋体" w:eastAsia="黑体"/>
          <w:sz w:val="24"/>
        </w:rPr>
        <w:t xml:space="preserve"> </w:t>
      </w:r>
      <w:r>
        <w:rPr>
          <w:rFonts w:hint="eastAsia" w:ascii="宋体" w:hAnsi="宋体"/>
          <w:szCs w:val="21"/>
        </w:rPr>
        <w:t>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pPr>
        <w:ind w:firstLine="420" w:firstLineChars="200"/>
        <w:rPr>
          <w:rFonts w:ascii="宋体" w:hAnsi="宋体"/>
          <w:szCs w:val="21"/>
        </w:rPr>
      </w:pPr>
      <w:r>
        <w:rPr>
          <w:rFonts w:hint="eastAsia" w:ascii="宋体" w:hAnsi="宋体"/>
          <w:szCs w:val="21"/>
        </w:rPr>
        <w:t>（1）被质疑供应商未能在合理时间内提供资料原件核对，且不能合理说明的；</w:t>
      </w:r>
    </w:p>
    <w:p>
      <w:pPr>
        <w:ind w:firstLine="420" w:firstLineChars="200"/>
        <w:rPr>
          <w:rFonts w:ascii="宋体" w:hAnsi="宋体"/>
          <w:szCs w:val="21"/>
        </w:rPr>
      </w:pPr>
      <w:r>
        <w:rPr>
          <w:rFonts w:hint="eastAsia" w:ascii="宋体" w:hAnsi="宋体"/>
          <w:szCs w:val="21"/>
        </w:rPr>
        <w:t>（2）被质疑供应商提供的资料原件与投标文件资料不一致的；</w:t>
      </w:r>
    </w:p>
    <w:p>
      <w:pPr>
        <w:ind w:firstLine="420" w:firstLineChars="200"/>
        <w:rPr>
          <w:rFonts w:ascii="宋体" w:hAnsi="宋体"/>
          <w:szCs w:val="21"/>
        </w:rPr>
      </w:pPr>
      <w:r>
        <w:rPr>
          <w:rFonts w:hint="eastAsia" w:ascii="宋体" w:hAnsi="宋体"/>
          <w:szCs w:val="21"/>
        </w:rPr>
        <w:t>（3）被质疑供应商投标文件资料信息与在相应官方查询渠道查询到的信息不一致，且不能合理说明的。</w:t>
      </w:r>
    </w:p>
    <w:p>
      <w:pPr>
        <w:pStyle w:val="37"/>
        <w:spacing w:before="280"/>
        <w:outlineLvl w:val="1"/>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rPr>
          <w:rFonts w:ascii="黑体" w:hAnsi="宋体" w:eastAsia="黑体"/>
          <w:sz w:val="24"/>
        </w:rPr>
      </w:pPr>
      <w:r>
        <w:rPr>
          <w:rFonts w:hint="eastAsia" w:ascii="黑体" w:hAnsi="宋体" w:eastAsia="黑体"/>
          <w:sz w:val="24"/>
        </w:rPr>
        <w:t>20．投标有效期</w:t>
      </w:r>
    </w:p>
    <w:p>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的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但应当相应的延长投标担保有效期；</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中标单位的投标书有效期，截止于完成本招标文件规定的全部项目内容，并通过竣工验收及保修结束。</w:t>
      </w:r>
    </w:p>
    <w:p>
      <w:pPr>
        <w:rPr>
          <w:rFonts w:ascii="黑体" w:hAnsi="宋体" w:eastAsia="黑体"/>
          <w:sz w:val="24"/>
        </w:rPr>
      </w:pPr>
      <w:r>
        <w:rPr>
          <w:rFonts w:hint="eastAsia" w:ascii="黑体" w:hAnsi="宋体" w:eastAsia="黑体"/>
          <w:sz w:val="24"/>
        </w:rPr>
        <w:t>21．关于投标保证金</w:t>
      </w:r>
    </w:p>
    <w:p>
      <w:pPr>
        <w:rPr>
          <w:rFonts w:ascii="宋体" w:hAnsi="宋体"/>
          <w:szCs w:val="21"/>
        </w:rPr>
      </w:pPr>
      <w:r>
        <w:rPr>
          <w:rFonts w:hint="eastAsia" w:ascii="宋体" w:hAnsi="宋体"/>
          <w:szCs w:val="21"/>
        </w:rPr>
        <w:t xml:space="preserve">    21.1 自2019年8月15日起，深圳市政府采购中心停止收取投标保证金和履约保证金。市政府采购中心将同时为所有注册供应商开放投标权限（因受到主管部门处罚锁定投标权限的除外）。</w:t>
      </w:r>
    </w:p>
    <w:p>
      <w:pPr>
        <w:ind w:firstLine="411" w:firstLineChars="196"/>
        <w:rPr>
          <w:rFonts w:ascii="宋体" w:hAnsi="宋体"/>
          <w:szCs w:val="21"/>
        </w:rPr>
      </w:pPr>
      <w:r>
        <w:rPr>
          <w:rFonts w:hint="eastAsia" w:ascii="宋体" w:hAnsi="宋体"/>
          <w:szCs w:val="21"/>
        </w:rPr>
        <w:t>21.2 咨询电话：0755-83948155。</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投标人应准备所投项目的电子投标文件一份。此电子投标文件须由投标人根据政府集中采购机构提供的后缀名为.zbs的电子招标文件、《投标书编制软件》编制【要求下载安装《投标书编辑软件》及其配套软件，使用电子密钥登录深圳市网上政府采购系统（</w:t>
      </w:r>
      <w:r>
        <w:t>http://cgzx.sz.gov.cn/</w:t>
      </w:r>
      <w:r>
        <w:rPr>
          <w:rFonts w:hint="eastAsia"/>
        </w:rPr>
        <w:t>），然后在右侧的“相关链接”栏目中</w:t>
      </w:r>
      <w:r>
        <w:rPr>
          <w:rFonts w:hint="eastAsia" w:ascii="宋体" w:hAnsi="宋体"/>
        </w:rPr>
        <w:t>下载。在安装此软件之前，须先安装</w:t>
      </w:r>
      <w:r>
        <w:rPr>
          <w:rFonts w:ascii="宋体" w:hAnsi="宋体"/>
        </w:rPr>
        <w:t>Adobe Reader 7.0</w:t>
      </w:r>
      <w:r>
        <w:rPr>
          <w:rFonts w:hint="eastAsia" w:ascii="宋体" w:hAnsi="宋体"/>
        </w:rPr>
        <w:t>以上版本】。</w:t>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23.2.5完整填写“投标关键信息”，如下图所示：</w:t>
      </w:r>
    </w:p>
    <w:p>
      <w:pPr>
        <w:ind w:firstLine="411" w:firstLineChars="196"/>
        <w:rPr>
          <w:rFonts w:ascii="宋体" w:hAnsi="宋体"/>
        </w:rPr>
      </w:pPr>
      <w:r>
        <w:rPr>
          <w:rFonts w:hint="eastAsia" w:ascii="宋体" w:hAnsi="宋体"/>
        </w:rPr>
        <w:t>（1）货物类</w:t>
      </w:r>
      <w:r>
        <w:rPr>
          <w:rFonts w:ascii="宋体" w:hAnsi="宋体"/>
        </w:rPr>
        <w:drawing>
          <wp:inline distT="0" distB="0" distL="0" distR="0">
            <wp:extent cx="5276215" cy="3524250"/>
            <wp:effectExtent l="19050" t="0" r="2" b="0"/>
            <wp:docPr id="1" name="图片 4" descr="C:\Users\weixun\Documents\Tencent Files\175277410\Image\C2C\Image1\T_D}XAT_OUE)6}FU%{YJ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weixun\Documents\Tencent Files\175277410\Image\C2C\Image1\T_D}XAT_OUE)6}FU%{YJA`W.jpg"/>
                    <pic:cNvPicPr>
                      <a:picLocks noChangeAspect="1" noChangeArrowheads="1"/>
                    </pic:cNvPicPr>
                  </pic:nvPicPr>
                  <pic:blipFill>
                    <a:blip r:embed="rId7" cstate="print"/>
                    <a:srcRect/>
                    <a:stretch>
                      <a:fillRect/>
                    </a:stretch>
                  </pic:blipFill>
                  <pic:spPr>
                    <a:xfrm>
                      <a:off x="0" y="0"/>
                      <a:ext cx="5278755" cy="3525523"/>
                    </a:xfrm>
                    <a:prstGeom prst="rect">
                      <a:avLst/>
                    </a:prstGeom>
                    <a:noFill/>
                    <a:ln w="9525">
                      <a:noFill/>
                      <a:miter lim="800000"/>
                      <a:headEnd/>
                      <a:tailEnd/>
                    </a:ln>
                  </pic:spPr>
                </pic:pic>
              </a:graphicData>
            </a:graphic>
          </wp:inline>
        </w:drawing>
      </w:r>
    </w:p>
    <w:p>
      <w:pPr>
        <w:ind w:firstLine="413" w:firstLineChars="196"/>
        <w:rPr>
          <w:rFonts w:ascii="宋体" w:hAnsi="宋体"/>
          <w:b/>
        </w:rPr>
      </w:pPr>
      <w:r>
        <w:rPr>
          <w:rFonts w:hint="eastAsia" w:ascii="宋体" w:hAnsi="宋体"/>
          <w:b/>
        </w:rPr>
        <w:t>备注：上述“开标一览表”中的“投标总价”将作为价格分计算依据；其它信息仅是对投标文件相关内容的概括性表述，不作为评审依据。</w:t>
      </w:r>
    </w:p>
    <w:p>
      <w:pPr>
        <w:ind w:firstLine="413" w:firstLineChars="196"/>
        <w:rPr>
          <w:rFonts w:ascii="宋体" w:hAnsi="宋体"/>
          <w:b/>
        </w:rPr>
      </w:pPr>
    </w:p>
    <w:p>
      <w:pPr>
        <w:ind w:firstLine="411" w:firstLineChars="196"/>
        <w:rPr>
          <w:rFonts w:ascii="宋体" w:hAnsi="宋体"/>
        </w:rPr>
      </w:pPr>
    </w:p>
    <w:p>
      <w:pPr>
        <w:ind w:firstLine="411" w:firstLineChars="196"/>
        <w:rPr>
          <w:rFonts w:ascii="宋体" w:hAnsi="宋体"/>
        </w:rPr>
      </w:pPr>
    </w:p>
    <w:p>
      <w:pPr>
        <w:ind w:firstLine="411" w:firstLineChars="196"/>
        <w:rPr>
          <w:rFonts w:ascii="宋体" w:hAnsi="宋体"/>
        </w:rPr>
      </w:pPr>
    </w:p>
    <w:p>
      <w:pPr>
        <w:ind w:firstLine="411" w:firstLineChars="196"/>
        <w:rPr>
          <w:rFonts w:ascii="宋体" w:hAnsi="宋体"/>
        </w:rPr>
      </w:pPr>
    </w:p>
    <w:p>
      <w:pPr>
        <w:ind w:firstLine="411" w:firstLineChars="196"/>
        <w:rPr>
          <w:rFonts w:ascii="宋体" w:hAnsi="宋体"/>
        </w:rPr>
      </w:pPr>
      <w:r>
        <w:rPr>
          <w:rFonts w:hint="eastAsia" w:ascii="宋体" w:hAnsi="宋体"/>
        </w:rPr>
        <w:t>（2）服务类</w:t>
      </w:r>
    </w:p>
    <w:p>
      <w:pPr>
        <w:widowControl/>
        <w:jc w:val="left"/>
        <w:rPr>
          <w:rFonts w:ascii="宋体" w:hAnsi="宋体" w:cs="宋体"/>
          <w:kern w:val="0"/>
          <w:sz w:val="24"/>
        </w:rPr>
      </w:pPr>
      <w:r>
        <w:rPr>
          <w:rFonts w:ascii="宋体" w:hAnsi="宋体" w:cs="宋体"/>
          <w:kern w:val="0"/>
          <w:sz w:val="24"/>
        </w:rPr>
        <w:drawing>
          <wp:inline distT="0" distB="0" distL="0" distR="0">
            <wp:extent cx="5273675" cy="3667125"/>
            <wp:effectExtent l="19050" t="0" r="2966"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8" cstate="print"/>
                    <a:srcRect/>
                    <a:stretch>
                      <a:fillRect/>
                    </a:stretch>
                  </pic:blipFill>
                  <pic:spPr>
                    <a:xfrm>
                      <a:off x="0" y="0"/>
                      <a:ext cx="5278754" cy="3670511"/>
                    </a:xfrm>
                    <a:prstGeom prst="rect">
                      <a:avLst/>
                    </a:prstGeom>
                    <a:noFill/>
                    <a:ln w="9525">
                      <a:noFill/>
                      <a:miter lim="800000"/>
                      <a:headEnd/>
                      <a:tailEnd/>
                    </a:ln>
                  </pic:spPr>
                </pic:pic>
              </a:graphicData>
            </a:graphic>
          </wp:inline>
        </w:drawing>
      </w:r>
    </w:p>
    <w:p>
      <w:pPr>
        <w:ind w:firstLine="413" w:firstLineChars="196"/>
        <w:rPr>
          <w:rFonts w:ascii="宋体" w:hAnsi="宋体"/>
          <w:b/>
        </w:rPr>
      </w:pPr>
      <w:r>
        <w:rPr>
          <w:rFonts w:hint="eastAsia" w:ascii="宋体" w:hAnsi="宋体"/>
          <w:b/>
        </w:rPr>
        <w:t>备注：上述“开标一览表”中的“投标总价”将作为价格分计算依据；其它信息仅是对投标文件相关内容的概括性表述，不作为评审依据。</w:t>
      </w:r>
    </w:p>
    <w:p>
      <w:pPr>
        <w:ind w:firstLine="411" w:firstLineChars="196"/>
        <w:rPr>
          <w:rFonts w:ascii="宋体" w:hAnsi="宋体"/>
        </w:rPr>
      </w:pPr>
      <w:r>
        <w:rPr>
          <w:rFonts w:hint="eastAsia" w:ascii="宋体" w:hAnsi="宋体"/>
        </w:rPr>
        <w:t>（3）工程类</w:t>
      </w:r>
    </w:p>
    <w:p>
      <w:pPr>
        <w:ind w:firstLine="411" w:firstLineChars="196"/>
        <w:rPr>
          <w:rFonts w:ascii="宋体" w:hAnsi="宋体"/>
        </w:rPr>
      </w:pPr>
      <w:r>
        <w:rPr>
          <w:rFonts w:hint="eastAsia" w:ascii="宋体" w:hAnsi="宋体"/>
        </w:rPr>
        <w:drawing>
          <wp:inline distT="0" distB="0" distL="0" distR="0">
            <wp:extent cx="5240655" cy="355282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srcRect/>
                    <a:stretch>
                      <a:fillRect/>
                    </a:stretch>
                  </pic:blipFill>
                  <pic:spPr>
                    <a:xfrm>
                      <a:off x="0" y="0"/>
                      <a:ext cx="5250703" cy="3559465"/>
                    </a:xfrm>
                    <a:prstGeom prst="rect">
                      <a:avLst/>
                    </a:prstGeom>
                    <a:noFill/>
                    <a:ln w="9525">
                      <a:noFill/>
                      <a:miter lim="800000"/>
                      <a:headEnd/>
                      <a:tailEnd/>
                    </a:ln>
                  </pic:spPr>
                </pic:pic>
              </a:graphicData>
            </a:graphic>
          </wp:inline>
        </w:drawing>
      </w:r>
    </w:p>
    <w:p>
      <w:pPr>
        <w:ind w:firstLine="413" w:firstLineChars="196"/>
        <w:rPr>
          <w:rFonts w:ascii="宋体" w:hAnsi="宋体"/>
          <w:b/>
        </w:rPr>
      </w:pPr>
      <w:r>
        <w:rPr>
          <w:rFonts w:hint="eastAsia" w:ascii="宋体" w:hAnsi="宋体"/>
          <w:b/>
        </w:rPr>
        <w:t>备注：上述“开标一览表”中的“投标总价”将作为价格分计算依据；其它信息仅是对投标文件相关内容的概括性表述，不作为评审依据。</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23.2.7投标书编写完成后，</w:t>
      </w:r>
      <w:r>
        <w:rPr>
          <w:rFonts w:hint="eastAsia" w:ascii="宋体" w:hAnsi="宋体"/>
          <w:b/>
        </w:rPr>
        <w:t>必须用属于投标人的电子密钥进行加密，否则视同未盖公章，将导致投标文件无效。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招投标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23.2.9如果开标时出现网络故障、技术故障，影响了招投标活动，政府集中采购机构有权采取措施如延期、接受无法从网上上传的投标书等，以保障招投标活动的公开、公平和公正。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23.4经投标人电子密钥加密的投标文件无须盖章或签字，</w:t>
      </w:r>
      <w:r>
        <w:rPr>
          <w:rFonts w:hint="eastAsia" w:ascii="宋体" w:hAnsi="宋体"/>
        </w:rPr>
        <w:t>专用条款另有要求的除外。</w:t>
      </w:r>
    </w:p>
    <w:p>
      <w:pPr>
        <w:ind w:firstLine="413" w:firstLineChars="196"/>
        <w:rPr>
          <w:rFonts w:ascii="宋体" w:hAnsi="宋体"/>
          <w:szCs w:val="21"/>
        </w:rPr>
      </w:pPr>
      <w:r>
        <w:rPr>
          <w:rFonts w:hint="eastAsia" w:ascii="宋体" w:hAnsi="宋体"/>
          <w:b/>
        </w:rPr>
        <w:t>23.5</w:t>
      </w:r>
      <w:r>
        <w:rPr>
          <w:rFonts w:hint="eastAsia" w:ascii="宋体" w:hAnsi="宋体"/>
        </w:rPr>
        <w:t xml:space="preserve"> 资格证明文件提供扫描件，专用条款另有要求的除外。</w:t>
      </w:r>
    </w:p>
    <w:p>
      <w:pPr>
        <w:pStyle w:val="5"/>
        <w:numPr>
          <w:ilvl w:val="0"/>
          <w:numId w:val="10"/>
        </w:numPr>
        <w:spacing w:beforeLines="50" w:afterLines="50"/>
        <w:rPr>
          <w:sz w:val="28"/>
          <w:szCs w:val="28"/>
        </w:rPr>
      </w:pPr>
      <w:r>
        <w:rPr>
          <w:rFonts w:hint="eastAsia"/>
          <w:sz w:val="28"/>
          <w:szCs w:val="28"/>
        </w:rPr>
        <w:t>投标文件的递交</w:t>
      </w:r>
    </w:p>
    <w:p>
      <w:pPr>
        <w:rPr>
          <w:rFonts w:ascii="黑体" w:hAnsi="宋体" w:eastAsia="黑体"/>
          <w:sz w:val="24"/>
        </w:rPr>
      </w:pPr>
      <w:r>
        <w:rPr>
          <w:rFonts w:hint="eastAsia" w:ascii="黑体" w:hAnsi="宋体" w:eastAsia="黑体"/>
          <w:sz w:val="24"/>
        </w:rPr>
        <w:t>24．投标书的保密</w:t>
      </w:r>
    </w:p>
    <w:p>
      <w:pPr>
        <w:ind w:firstLine="411" w:firstLineChars="196"/>
        <w:rPr>
          <w:rFonts w:ascii="宋体" w:hAnsi="宋体"/>
        </w:rPr>
      </w:pPr>
      <w:r>
        <w:rPr>
          <w:rFonts w:hint="eastAsia" w:ascii="宋体" w:hAnsi="宋体"/>
        </w:rPr>
        <w:t>24.1在投标文件制作完成后，在投标书编制软件点击“加密投标书”按钮进入加密界面，对投标书进行加密，也可单独使用“深圳政府标书加密软件”（一般是与投标书编制软件捆绑下载）进入加密界面进行加密，无需用其它加密方式。此加密程序确保投标文件在到达投标截止时间后才能解密查看。在加密过程中，请按照软件提示进行操作。加密界面如下图所示：</w:t>
      </w:r>
    </w:p>
    <w:p>
      <w:pPr>
        <w:widowControl/>
        <w:jc w:val="left"/>
        <w:rPr>
          <w:rFonts w:ascii="宋体" w:hAnsi="宋体" w:cs="宋体"/>
          <w:kern w:val="0"/>
          <w:sz w:val="24"/>
        </w:rPr>
      </w:pPr>
      <w:r>
        <w:rPr>
          <w:rFonts w:ascii="宋体" w:hAnsi="宋体" w:cs="宋体"/>
          <w:kern w:val="0"/>
          <w:sz w:val="24"/>
        </w:rPr>
        <w:drawing>
          <wp:inline distT="0" distB="0" distL="0" distR="0">
            <wp:extent cx="4991100" cy="3933825"/>
            <wp:effectExtent l="19050" t="0" r="0" b="0"/>
            <wp:docPr id="4" name="图片 1" descr="C:\Users\weixun\AppData\Local\Temp\WeChat Files\0f46208c35b849896d64636a0e3bb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eixun\AppData\Local\Temp\WeChat Files\0f46208c35b849896d64636a0e3bb87.jpg"/>
                    <pic:cNvPicPr>
                      <a:picLocks noChangeAspect="1" noChangeArrowheads="1"/>
                    </pic:cNvPicPr>
                  </pic:nvPicPr>
                  <pic:blipFill>
                    <a:blip r:embed="rId10" cstate="print"/>
                    <a:srcRect/>
                    <a:stretch>
                      <a:fillRect/>
                    </a:stretch>
                  </pic:blipFill>
                  <pic:spPr>
                    <a:xfrm>
                      <a:off x="0" y="0"/>
                      <a:ext cx="4991100" cy="3933825"/>
                    </a:xfrm>
                    <a:prstGeom prst="rect">
                      <a:avLst/>
                    </a:prstGeom>
                    <a:noFill/>
                    <a:ln w="9525">
                      <a:noFill/>
                      <a:miter lim="800000"/>
                      <a:headEnd/>
                      <a:tailEnd/>
                    </a:ln>
                  </pic:spPr>
                </pic:pic>
              </a:graphicData>
            </a:graphic>
          </wp:inline>
        </w:drawing>
      </w:r>
    </w:p>
    <w:p>
      <w:pPr>
        <w:rPr>
          <w:sz w:val="24"/>
        </w:rPr>
      </w:pPr>
    </w:p>
    <w:p>
      <w:pPr>
        <w:rPr>
          <w:sz w:val="24"/>
        </w:rPr>
      </w:pPr>
      <w:r>
        <w:rPr>
          <w:sz w:val="24"/>
        </w:rPr>
        <w:drawing>
          <wp:inline distT="0" distB="0" distL="0" distR="0">
            <wp:extent cx="4495800" cy="2171700"/>
            <wp:effectExtent l="19050" t="0" r="0" b="0"/>
            <wp:docPr id="5" name="图片 2" descr="C:\Users\weixun\AppData\Local\Temp\WeChat Files\17bf5d9a0536cc3e4cdd2781a40dd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weixun\AppData\Local\Temp\WeChat Files\17bf5d9a0536cc3e4cdd2781a40dd7f.jpg"/>
                    <pic:cNvPicPr>
                      <a:picLocks noChangeAspect="1" noChangeArrowheads="1"/>
                    </pic:cNvPicPr>
                  </pic:nvPicPr>
                  <pic:blipFill>
                    <a:blip r:embed="rId11" cstate="print"/>
                    <a:srcRect/>
                    <a:stretch>
                      <a:fillRect/>
                    </a:stretch>
                  </pic:blipFill>
                  <pic:spPr>
                    <a:xfrm>
                      <a:off x="0" y="0"/>
                      <a:ext cx="4495800" cy="2171700"/>
                    </a:xfrm>
                    <a:prstGeom prst="rect">
                      <a:avLst/>
                    </a:prstGeom>
                    <a:noFill/>
                    <a:ln w="9525">
                      <a:noFill/>
                      <a:miter lim="800000"/>
                      <a:headEnd/>
                      <a:tailEnd/>
                    </a:ln>
                  </pic:spPr>
                </pic:pic>
              </a:graphicData>
            </a:graphic>
          </wp:inline>
        </w:drawing>
      </w:r>
    </w:p>
    <w:p>
      <w:pPr>
        <w:rPr>
          <w:rFonts w:ascii="宋体" w:hAnsi="宋体"/>
          <w:b/>
        </w:rPr>
      </w:pPr>
      <w:r>
        <w:rPr>
          <w:rFonts w:hint="eastAsia" w:ascii="宋体" w:hAnsi="宋体"/>
        </w:rPr>
        <w:t xml:space="preserve">   </w:t>
      </w:r>
      <w:r>
        <w:rPr>
          <w:rFonts w:hint="eastAsia" w:ascii="宋体" w:hAnsi="宋体"/>
          <w:b/>
        </w:rPr>
        <w:t xml:space="preserve"> 24.2若采购项目出现延期情况：</w:t>
      </w:r>
    </w:p>
    <w:p>
      <w:pPr>
        <w:rPr>
          <w:rFonts w:ascii="黑体" w:hAnsi="宋体" w:eastAsia="黑体"/>
          <w:b/>
          <w:sz w:val="24"/>
        </w:rPr>
      </w:pPr>
      <w:r>
        <w:rPr>
          <w:rFonts w:hint="eastAsia" w:ascii="宋体" w:hAnsi="宋体"/>
          <w:b/>
        </w:rPr>
        <w:t>如果供下载的招标文件（后缀名为.ZBS）有更新，投标人必须重新下载招标文件、重新制作投标文件、重新加密投标文件、重新上传投标文件；如果供下载的招标文件（后缀名为.ZBS）没有更新，投标人必须重新加密投标文件、重新上传投标文件（是否重新制作投标文件根据项目实际情况定）。否则，投标人自行承担投标文件无法解密导致投标无效的后果。</w:t>
      </w:r>
    </w:p>
    <w:p>
      <w:pPr>
        <w:rPr>
          <w:sz w:val="24"/>
        </w:rPr>
      </w:pPr>
    </w:p>
    <w:p>
      <w:pPr>
        <w:rPr>
          <w:rFonts w:ascii="黑体" w:hAnsi="宋体" w:eastAsia="黑体"/>
          <w:sz w:val="24"/>
        </w:rPr>
      </w:pPr>
      <w:r>
        <w:rPr>
          <w:rFonts w:hint="eastAsia" w:ascii="黑体" w:hAnsi="宋体" w:eastAsia="黑体"/>
          <w:sz w:val="24"/>
        </w:rPr>
        <w:t>25．投标截止日期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用电子密钥登录“深圳市政府采购网”（</w:t>
      </w:r>
      <w:r>
        <w:rPr>
          <w:rFonts w:ascii="宋体" w:hAnsi="宋体"/>
        </w:rPr>
        <w:t>http://cgzx.sz.gov.cn/</w:t>
      </w:r>
      <w:r>
        <w:rPr>
          <w:rFonts w:hint="eastAsia" w:ascii="宋体" w:hAnsi="宋体"/>
        </w:rPr>
        <w:t>），使用“应标管理”</w:t>
      </w:r>
      <w:r>
        <w:rPr>
          <w:rFonts w:ascii="宋体" w:hAnsi="宋体"/>
        </w:rPr>
        <w:t>—</w:t>
      </w:r>
      <w:r>
        <w:rPr>
          <w:rFonts w:hint="eastAsia" w:ascii="宋体" w:hAnsi="宋体"/>
        </w:rPr>
        <w:t>》“上传投标文件”功能点上传投标文件。如果没有该功能点，请用本公司的机构管理员在 “系统维护”</w:t>
      </w:r>
      <w:r>
        <w:rPr>
          <w:rFonts w:ascii="宋体" w:hAnsi="宋体"/>
        </w:rPr>
        <w:t>—</w:t>
      </w:r>
      <w:r>
        <w:rPr>
          <w:rFonts w:hint="eastAsia" w:ascii="宋体" w:hAnsi="宋体"/>
        </w:rPr>
        <w:t>》“修改用户权限”中增加该功能点，如果增加不成功，请在工作日与政府集中采购机构联系。如果确有困难，多次上传均告失败，请在投标截止时间之前携带加密后的电子投标文件送达至政府集中采购机构501政府采购技术支持服务室。</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rPr>
          <w:rFonts w:ascii="黑体" w:hAnsi="宋体" w:eastAsia="黑体"/>
          <w:sz w:val="24"/>
        </w:rPr>
      </w:pPr>
      <w:r>
        <w:rPr>
          <w:rFonts w:hint="eastAsia" w:ascii="黑体" w:hAnsi="宋体" w:eastAsia="黑体"/>
          <w:sz w:val="24"/>
        </w:rPr>
        <w:t>26.样品的递交</w:t>
      </w:r>
    </w:p>
    <w:p>
      <w:pPr>
        <w:rPr>
          <w:rFonts w:ascii="宋体" w:hAnsi="宋体"/>
          <w:szCs w:val="21"/>
        </w:rPr>
      </w:pPr>
      <w:r>
        <w:rPr>
          <w:rFonts w:hint="eastAsia" w:ascii="宋体" w:hAnsi="宋体"/>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pPr>
        <w:ind w:firstLine="420"/>
        <w:rPr>
          <w:rFonts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投标供应商的信息、</w:t>
      </w:r>
      <w:r>
        <w:rPr>
          <w:rFonts w:ascii="宋体" w:hAnsi="宋体" w:cs="宋体"/>
          <w:kern w:val="0"/>
          <w:szCs w:val="18"/>
        </w:rPr>
        <w:t>生产厂家</w:t>
      </w:r>
      <w:r>
        <w:rPr>
          <w:rFonts w:hint="eastAsia" w:ascii="宋体" w:hAnsi="宋体" w:cs="宋体"/>
          <w:kern w:val="0"/>
          <w:szCs w:val="18"/>
        </w:rPr>
        <w:t>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。需要安装的投标样品必须为安装完整的成品，由投标供应商自行组织安装。</w:t>
      </w:r>
    </w:p>
    <w:p>
      <w:pPr>
        <w:ind w:firstLine="420" w:firstLineChars="200"/>
        <w:rPr>
          <w:rFonts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pPr>
        <w:ind w:firstLine="420" w:firstLineChars="200"/>
        <w:rPr>
          <w:bCs/>
          <w:szCs w:val="21"/>
        </w:rPr>
      </w:pPr>
      <w:r>
        <w:rPr>
          <w:rFonts w:hint="eastAsia"/>
          <w:bCs/>
          <w:szCs w:val="21"/>
        </w:rPr>
        <w:t>投标供应商授权人需在本项目投标截止时间前，提供法定代表人证明书（盖公章）、法定代表人授权委托书（盖公章）、授权委托人身份证原件和复印件、样品清单（加盖公章），到深圳市福田区泰然九路金润大厦7层E单元，按工作人员指引进行样品递交签到。</w:t>
      </w:r>
    </w:p>
    <w:p>
      <w:pPr>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pPr>
        <w:ind w:firstLine="420" w:firstLineChars="200"/>
        <w:rPr>
          <w:rFonts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pPr>
        <w:ind w:firstLine="420" w:firstLineChars="200"/>
        <w:rPr>
          <w:rFonts w:ascii="宋体" w:hAnsi="宋体" w:cs="宋体"/>
          <w:kern w:val="0"/>
          <w:szCs w:val="18"/>
        </w:rPr>
      </w:pPr>
      <w:r>
        <w:rPr>
          <w:rFonts w:hint="eastAsia" w:ascii="宋体" w:hAnsi="宋体" w:cs="宋体"/>
          <w:kern w:val="0"/>
          <w:szCs w:val="18"/>
        </w:rPr>
        <w:t xml:space="preserve">本项目投标截止时间后进行投标样品接收。投标样品接收必须进行身份核对、样品核对、登记确认、顺序编号。 </w:t>
      </w:r>
    </w:p>
    <w:p>
      <w:pPr>
        <w:ind w:firstLine="420" w:firstLineChars="200"/>
        <w:rPr>
          <w:rFonts w:ascii="宋体" w:hAnsi="宋体" w:cs="宋体"/>
          <w:kern w:val="0"/>
          <w:szCs w:val="18"/>
        </w:rPr>
      </w:pPr>
      <w:r>
        <w:rPr>
          <w:rFonts w:hint="eastAsia" w:ascii="宋体" w:hAnsi="宋体" w:cs="宋体"/>
          <w:kern w:val="0"/>
          <w:szCs w:val="18"/>
        </w:rPr>
        <w:t>（1）身份核对。工作人员核对投标供应商授权委托人提供的“法定代表人证明书（盖公章）、法定代表人授权委托书（盖公章）、授权委托人身份证原件和复印件”。资料不齐全的，不得接收投标样品。</w:t>
      </w:r>
    </w:p>
    <w:p>
      <w:pPr>
        <w:ind w:firstLine="420" w:firstLineChars="200"/>
        <w:rPr>
          <w:rFonts w:ascii="宋体" w:hAnsi="宋体" w:cs="宋体"/>
          <w:kern w:val="0"/>
          <w:szCs w:val="18"/>
        </w:rPr>
      </w:pPr>
      <w:r>
        <w:rPr>
          <w:rFonts w:hint="eastAsia" w:ascii="宋体" w:hAnsi="宋体" w:cs="宋体"/>
          <w:kern w:val="0"/>
          <w:szCs w:val="18"/>
        </w:rPr>
        <w:t>（2）样品核对。工作人员将投标样品与投标供应商提供的《样品清单》（盖公章）进行一一核对。有不一致的或损坏情况的，将要求供应商授权委托人在《样品清单》上注明。</w:t>
      </w:r>
    </w:p>
    <w:p>
      <w:pPr>
        <w:ind w:firstLine="420" w:firstLineChars="200"/>
        <w:rPr>
          <w:rFonts w:ascii="宋体" w:hAnsi="宋体" w:cs="宋体"/>
          <w:kern w:val="0"/>
          <w:szCs w:val="18"/>
        </w:rPr>
      </w:pPr>
      <w:r>
        <w:rPr>
          <w:rFonts w:hint="eastAsia" w:ascii="宋体" w:hAnsi="宋体" w:cs="宋体"/>
          <w:kern w:val="0"/>
          <w:szCs w:val="18"/>
        </w:rPr>
        <w:t>（3）登记确认。在完成身份核对及样品核对后，投标供应商授权委托人必须在《样品接收登记表》上登记确认。</w:t>
      </w:r>
    </w:p>
    <w:p>
      <w:pPr>
        <w:ind w:firstLine="420" w:firstLineChars="200"/>
        <w:rPr>
          <w:rFonts w:ascii="宋体" w:hAnsi="宋体" w:cs="宋体"/>
          <w:kern w:val="0"/>
          <w:szCs w:val="18"/>
        </w:rPr>
      </w:pPr>
      <w:r>
        <w:rPr>
          <w:rFonts w:hint="eastAsia" w:ascii="宋体" w:hAnsi="宋体" w:cs="宋体"/>
          <w:kern w:val="0"/>
          <w:szCs w:val="18"/>
        </w:rPr>
        <w:t>（4）顺序编号。工作人员按投标样品接收的先后顺序进行编号。</w:t>
      </w:r>
    </w:p>
    <w:p>
      <w:pPr>
        <w:ind w:firstLine="420" w:firstLineChars="200"/>
        <w:rPr>
          <w:rFonts w:ascii="宋体" w:hAnsi="宋体" w:cs="宋体"/>
          <w:kern w:val="0"/>
          <w:szCs w:val="18"/>
        </w:rPr>
      </w:pPr>
      <w:r>
        <w:rPr>
          <w:rFonts w:hint="eastAsia" w:ascii="宋体" w:hAnsi="宋体"/>
          <w:szCs w:val="21"/>
        </w:rPr>
        <w:t>26.3</w:t>
      </w:r>
      <w:r>
        <w:rPr>
          <w:rFonts w:hint="eastAsia" w:ascii="宋体" w:hAnsi="宋体" w:cs="宋体"/>
          <w:kern w:val="0"/>
          <w:szCs w:val="18"/>
        </w:rPr>
        <w:t>工作人员负责组织投标样品摆样，指引供应商授权委托人将投标样品搬运到指定地点摆放、拆除包装，按要求摆放整齐。完成样品摆样后，供应商授权委托人应及时立场，不得在摆样现场滞留。</w:t>
      </w:r>
    </w:p>
    <w:p>
      <w:pPr>
        <w:ind w:firstLine="420" w:firstLineChars="200"/>
        <w:rPr>
          <w:rFonts w:ascii="宋体" w:hAnsi="宋体" w:cs="宋体"/>
          <w:kern w:val="0"/>
          <w:szCs w:val="18"/>
        </w:rPr>
      </w:pPr>
      <w:r>
        <w:rPr>
          <w:rFonts w:hint="eastAsia" w:ascii="宋体" w:hAnsi="宋体" w:cs="宋体"/>
          <w:kern w:val="0"/>
          <w:szCs w:val="18"/>
        </w:rPr>
        <w:t>26.4样品的退回：（1）未中标的供应商投标样品，工作人员将按规定进行通知，并要求供应商授权委托人在项目完成评审后的三个工作日内凭身份证及样品受理回执原件办理退回手续。（2）中标的供应商投标样品，工作人员将按规定进行通知，并要求采购人代表在中标通知书发放后三个工作日内凭中标通知书复印件及身份证原件办理领取手续。</w:t>
      </w:r>
    </w:p>
    <w:p>
      <w:pPr>
        <w:ind w:firstLine="420" w:firstLineChars="200"/>
        <w:rPr>
          <w:rFonts w:ascii="宋体" w:hAnsi="宋体" w:cs="宋体"/>
          <w:kern w:val="0"/>
          <w:szCs w:val="18"/>
        </w:rPr>
      </w:pPr>
      <w:r>
        <w:rPr>
          <w:rFonts w:hint="eastAsia" w:ascii="宋体" w:hAnsi="宋体" w:cs="宋体"/>
          <w:kern w:val="0"/>
          <w:szCs w:val="18"/>
        </w:rPr>
        <w:t>投标样品移交时，工作人员将再次核对供应商授权委托人或采购人代表身份、核对《样品清单》，签字确认后并取走样品。</w:t>
      </w:r>
    </w:p>
    <w:p>
      <w:pPr>
        <w:ind w:firstLine="420" w:firstLineChars="200"/>
        <w:rPr>
          <w:rFonts w:ascii="宋体" w:hAnsi="宋体" w:cs="宋体"/>
          <w:kern w:val="0"/>
          <w:szCs w:val="18"/>
        </w:rPr>
      </w:pPr>
      <w:r>
        <w:rPr>
          <w:rFonts w:hint="eastAsia" w:ascii="宋体" w:hAnsi="宋体" w:cs="宋体"/>
          <w:kern w:val="0"/>
          <w:szCs w:val="18"/>
        </w:rPr>
        <w:t>26.5未能及时退回的样品的处理：</w:t>
      </w:r>
    </w:p>
    <w:p>
      <w:pPr>
        <w:ind w:firstLine="420" w:firstLineChars="200"/>
        <w:rPr>
          <w:rFonts w:ascii="宋体" w:hAnsi="宋体" w:cs="宋体"/>
          <w:kern w:val="0"/>
          <w:szCs w:val="18"/>
        </w:rPr>
      </w:pPr>
      <w:r>
        <w:rPr>
          <w:rFonts w:hint="eastAsia" w:ascii="宋体" w:hAnsi="宋体" w:cs="宋体"/>
          <w:kern w:val="0"/>
          <w:szCs w:val="18"/>
        </w:rPr>
        <w:t>（1）未中标供应商未在规定时间内（项目完成评审后三个工作日）内取回投标样品的，视为放弃取回，工作人员将定期清理。</w:t>
      </w:r>
    </w:p>
    <w:p>
      <w:pPr>
        <w:ind w:firstLine="420"/>
        <w:rPr>
          <w:rFonts w:ascii="宋体" w:hAnsi="宋体"/>
          <w:szCs w:val="21"/>
        </w:rPr>
      </w:pPr>
      <w:r>
        <w:rPr>
          <w:rFonts w:hint="eastAsia" w:ascii="宋体" w:hAnsi="宋体" w:cs="宋体"/>
          <w:kern w:val="0"/>
          <w:szCs w:val="18"/>
        </w:rPr>
        <w:t>（2）采购人未在规定时间内（中标通知书发放后三个工作日内）内领取中标供应商投标样品的，工作人员将发函或电话敦促。对于拒不领取的中标样品，视同采购人放弃取回，工作人员将定期清理。</w:t>
      </w:r>
    </w:p>
    <w:p>
      <w:pPr>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p>
    <w:p>
      <w:pPr>
        <w:ind w:firstLine="420"/>
        <w:rPr>
          <w:rFonts w:ascii="宋体" w:hAnsi="宋体"/>
          <w:szCs w:val="21"/>
        </w:rPr>
      </w:pPr>
      <w:r>
        <w:rPr>
          <w:rFonts w:hint="eastAsia" w:ascii="宋体" w:hAnsi="宋体"/>
          <w:szCs w:val="21"/>
        </w:rPr>
        <w:t>27.4政府集中采购机构不退还投标文件，专用条款另有规定的除外。</w:t>
      </w:r>
    </w:p>
    <w:p>
      <w:pPr>
        <w:pStyle w:val="5"/>
        <w:numPr>
          <w:ilvl w:val="0"/>
          <w:numId w:val="10"/>
        </w:numPr>
        <w:spacing w:beforeLines="50" w:afterLines="50"/>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ascii="宋体" w:hAnsi="宋体"/>
          <w:szCs w:val="21"/>
        </w:rPr>
        <w:t>政府集中采购机构</w:t>
      </w:r>
      <w:r>
        <w:rPr>
          <w:rFonts w:hint="eastAsia" w:ascii="宋体" w:hAnsi="宋体"/>
          <w:szCs w:val="21"/>
        </w:rPr>
        <w:t>将在投标截止时间后，对投标文件进行解密，开标，并在网上公布开标结果。</w:t>
      </w:r>
    </w:p>
    <w:p>
      <w:pPr>
        <w:ind w:firstLine="420" w:firstLineChars="200"/>
        <w:rPr>
          <w:rFonts w:ascii="宋体" w:hAnsi="宋体"/>
          <w:szCs w:val="21"/>
        </w:rPr>
      </w:pPr>
      <w:r>
        <w:rPr>
          <w:rFonts w:hint="eastAsia" w:ascii="宋体" w:hAnsi="宋体"/>
          <w:szCs w:val="21"/>
        </w:rPr>
        <w:t>28.2 网上投标的，当政府集中采购机构开标后，投标人即可登录“深圳市政府采购网”，使用“应标管理</w:t>
      </w:r>
      <w:r>
        <w:rPr/>
        <w:sym w:font="Wingdings" w:char="F0E0"/>
      </w:r>
      <w:r>
        <w:rPr>
          <w:rFonts w:hint="eastAsia" w:ascii="宋体" w:hAnsi="宋体"/>
          <w:szCs w:val="21"/>
        </w:rPr>
        <w:t>浏览开标一览表</w:t>
      </w:r>
      <w:r>
        <w:rPr>
          <w:rFonts w:ascii="宋体" w:hAnsi="宋体"/>
          <w:szCs w:val="21"/>
        </w:rPr>
        <w:t>”</w:t>
      </w:r>
      <w:r>
        <w:rPr>
          <w:rFonts w:hint="eastAsia" w:ascii="宋体" w:hAnsi="宋体"/>
          <w:szCs w:val="21"/>
        </w:rPr>
        <w:t>功能点查看开标一览表。</w:t>
      </w:r>
    </w:p>
    <w:p>
      <w:pPr>
        <w:pStyle w:val="5"/>
        <w:numPr>
          <w:ilvl w:val="0"/>
          <w:numId w:val="10"/>
        </w:numPr>
        <w:spacing w:beforeLines="50" w:afterLines="50"/>
        <w:rPr>
          <w:sz w:val="28"/>
          <w:szCs w:val="28"/>
        </w:rPr>
      </w:pPr>
      <w:r>
        <w:rPr>
          <w:rFonts w:hint="eastAsia"/>
          <w:sz w:val="28"/>
          <w:szCs w:val="28"/>
        </w:rPr>
        <w:t>评标要求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29.1网上开标结束后召开评标会议，</w:t>
      </w:r>
      <w:r>
        <w:rPr>
          <w:rFonts w:hint="eastAsia" w:ascii="宋体" w:hAnsi="宋体"/>
          <w:szCs w:val="21"/>
        </w:rPr>
        <w:t>评审委员会</w:t>
      </w:r>
      <w:r>
        <w:rPr>
          <w:rFonts w:hint="eastAsia" w:ascii="宋体" w:hAnsi="宋体"/>
        </w:rPr>
        <w:t>由政府集中采购机构依法组建，负责评标活动。</w:t>
      </w:r>
    </w:p>
    <w:p>
      <w:pPr>
        <w:widowControl/>
        <w:shd w:val="clear" w:color="auto" w:fill="FFFFFF"/>
        <w:spacing w:before="47" w:after="206" w:line="299" w:lineRule="atLeast"/>
        <w:jc w:val="left"/>
      </w:pPr>
      <w:r>
        <w:rPr>
          <w:rFonts w:hint="eastAsia"/>
        </w:rPr>
        <w:t xml:space="preserve">    </w:t>
      </w:r>
      <w:r>
        <w:t>评审委员会由</w:t>
      </w:r>
      <w:r>
        <w:rPr>
          <w:rFonts w:hint="eastAsia"/>
        </w:rPr>
        <w:t>采购人代表和</w:t>
      </w:r>
      <w:r>
        <w:t>评审专家组成，</w:t>
      </w:r>
      <w:r>
        <w:rPr>
          <w:rFonts w:hint="eastAsia"/>
        </w:rPr>
        <w:t>成员</w:t>
      </w:r>
      <w:r>
        <w:t>人数为五人以上的单数</w:t>
      </w:r>
      <w:r>
        <w:rPr>
          <w:rFonts w:hint="eastAsia"/>
        </w:rPr>
        <w:t>。评定分离项目</w:t>
      </w:r>
      <w:r>
        <w:t>评审专家</w:t>
      </w:r>
      <w:r>
        <w:rPr>
          <w:rFonts w:hint="eastAsia"/>
        </w:rPr>
        <w:t>均</w:t>
      </w:r>
      <w:r>
        <w:t>由</w:t>
      </w:r>
      <w:r>
        <w:rPr>
          <w:rFonts w:hint="eastAsia"/>
        </w:rPr>
        <w:t>评审专家组成。</w:t>
      </w:r>
    </w:p>
    <w:p>
      <w:pPr>
        <w:ind w:firstLine="411" w:firstLineChars="196"/>
        <w:rPr>
          <w:rFonts w:ascii="宋体" w:hAnsi="宋体"/>
        </w:rPr>
      </w:pPr>
      <w:r>
        <w:rPr>
          <w:rFonts w:hint="eastAsia" w:ascii="宋体" w:hAnsi="宋体"/>
        </w:rPr>
        <w:t>为保证评委人选的专业性，以及评标中的公平公正性，</w:t>
      </w:r>
      <w:r>
        <w:rPr>
          <w:rFonts w:hint="eastAsia" w:ascii="宋体" w:hAnsi="宋体"/>
          <w:szCs w:val="21"/>
        </w:rPr>
        <w:t>评审专家</w:t>
      </w:r>
      <w:r>
        <w:rPr>
          <w:rFonts w:hint="eastAsia" w:ascii="宋体" w:hAnsi="宋体"/>
        </w:rPr>
        <w:t>从深圳市财政局评标专家库中随机抽取。</w:t>
      </w:r>
    </w:p>
    <w:p>
      <w:pPr>
        <w:ind w:firstLine="411" w:firstLineChars="196"/>
        <w:rPr>
          <w:rFonts w:ascii="宋体" w:hAnsi="宋体"/>
        </w:rPr>
      </w:pPr>
      <w:r>
        <w:rPr>
          <w:rFonts w:hint="eastAsia" w:ascii="宋体" w:hAnsi="宋体"/>
        </w:rPr>
        <w:t>采购人代表须持本单位签发的《评标授权书》参加评标。</w:t>
      </w:r>
    </w:p>
    <w:p>
      <w:pPr>
        <w:ind w:firstLine="413" w:firstLineChars="196"/>
        <w:rPr>
          <w:rFonts w:ascii="宋体" w:hAnsi="宋体"/>
          <w:b/>
          <w:sz w:val="24"/>
        </w:rPr>
      </w:pPr>
      <w:r>
        <w:rPr>
          <w:rFonts w:hint="eastAsia" w:ascii="宋体" w:hAnsi="宋体"/>
          <w:b/>
          <w:szCs w:val="21"/>
        </w:rPr>
        <w:t>注：《评标授权书》模板可以从“政府集中采购机构网站”（</w:t>
      </w:r>
      <w:r>
        <w:rPr>
          <w:rFonts w:ascii="宋体" w:hAnsi="宋体"/>
          <w:b/>
          <w:szCs w:val="21"/>
        </w:rPr>
        <w:t>http://</w:t>
      </w:r>
      <w:r>
        <w:rPr>
          <w:rFonts w:hint="eastAsia" w:ascii="宋体" w:hAnsi="宋体"/>
          <w:b/>
          <w:szCs w:val="21"/>
        </w:rPr>
        <w:t xml:space="preserve"> cgzx.sz.gov.cn</w:t>
      </w:r>
      <w:r>
        <w:rPr>
          <w:rFonts w:ascii="宋体" w:hAnsi="宋体"/>
          <w:b/>
          <w:szCs w:val="21"/>
        </w:rPr>
        <w:t>/</w:t>
      </w:r>
      <w:r>
        <w:rPr>
          <w:rFonts w:hint="eastAsia" w:ascii="宋体" w:hAnsi="宋体"/>
          <w:b/>
          <w:szCs w:val="21"/>
        </w:rPr>
        <w:t>）采购人页面下“采购”环节“通用表格”处下载</w:t>
      </w:r>
      <w:r>
        <w:rPr>
          <w:rFonts w:hint="eastAsia" w:ascii="宋体" w:hAnsi="宋体"/>
          <w:b/>
          <w:sz w:val="24"/>
        </w:rPr>
        <w:t>。</w:t>
      </w:r>
    </w:p>
    <w:p>
      <w:pPr>
        <w:ind w:firstLine="411" w:firstLineChars="196"/>
        <w:rPr>
          <w:rFonts w:ascii="宋体" w:hAnsi="宋体"/>
        </w:rPr>
      </w:pPr>
      <w:r>
        <w:rPr>
          <w:rFonts w:hint="eastAsia" w:ascii="宋体" w:hAnsi="宋体"/>
        </w:rPr>
        <w:t>29.2评标定标应当遵循公平、公正、科学、择优的原则。</w:t>
      </w:r>
    </w:p>
    <w:p>
      <w:pPr>
        <w:ind w:firstLine="411" w:firstLineChars="196"/>
        <w:rPr>
          <w:rFonts w:ascii="宋体" w:hAnsi="宋体"/>
        </w:rPr>
      </w:pPr>
      <w:r>
        <w:rPr>
          <w:rFonts w:hint="eastAsia" w:ascii="宋体" w:hAnsi="宋体"/>
        </w:rPr>
        <w:t>29.3评标活动依法进行，任何单位和个人不得非法干预评标过程和结果。</w:t>
      </w:r>
    </w:p>
    <w:p>
      <w:pPr>
        <w:ind w:firstLine="411" w:firstLineChars="196"/>
        <w:rPr>
          <w:rFonts w:ascii="宋体" w:hAnsi="宋体"/>
        </w:rPr>
      </w:pPr>
      <w:r>
        <w:rPr>
          <w:rFonts w:hint="eastAsia" w:ascii="宋体" w:hAnsi="宋体"/>
        </w:rPr>
        <w:t>29.4评标过程中不允许违背评标程序或采用招标文件未载明的评标方法或评标因素进行评标。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31．独立评标</w:t>
      </w:r>
    </w:p>
    <w:p>
      <w:pPr>
        <w:ind w:firstLine="411" w:firstLineChars="196"/>
        <w:rPr>
          <w:rFonts w:ascii="宋体" w:hAnsi="宋体"/>
          <w:bCs/>
          <w:szCs w:val="21"/>
        </w:rPr>
      </w:pPr>
      <w:r>
        <w:rPr>
          <w:rFonts w:hint="eastAsia" w:ascii="宋体" w:hAnsi="宋体"/>
          <w:bCs/>
        </w:rPr>
        <w:t>30.1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成员的评标活动应当独立进行，并应遵循投标文件初审、澄清有关问题、比较与评价、确定中标供应商、编写评标报告的工作程序。</w:t>
      </w:r>
    </w:p>
    <w:p>
      <w:pPr>
        <w:pStyle w:val="5"/>
        <w:numPr>
          <w:ilvl w:val="0"/>
          <w:numId w:val="10"/>
        </w:numPr>
        <w:spacing w:beforeLines="50" w:afterLines="50"/>
        <w:rPr>
          <w:sz w:val="28"/>
          <w:szCs w:val="28"/>
        </w:rPr>
      </w:pPr>
      <w:r>
        <w:rPr>
          <w:rFonts w:hint="eastAsia"/>
          <w:sz w:val="28"/>
          <w:szCs w:val="28"/>
        </w:rPr>
        <w:t>评标程序及评标方法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pPr>
        <w:autoSpaceDE w:val="0"/>
        <w:autoSpaceDN w:val="0"/>
        <w:adjustRightInd w:val="0"/>
        <w:jc w:val="left"/>
        <w:rPr>
          <w:rFonts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pPr>
        <w:ind w:firstLine="413" w:firstLineChars="196"/>
        <w:rPr>
          <w:rFonts w:ascii="宋体" w:hAnsi="宋体"/>
          <w:b/>
        </w:rPr>
      </w:pPr>
      <w:r>
        <w:rPr>
          <w:rFonts w:hint="eastAsia" w:ascii="宋体" w:hAnsi="宋体"/>
          <w:b/>
        </w:rPr>
        <w:t>32.3 投标文件初审中关于供应商家数的计算:</w:t>
      </w:r>
    </w:p>
    <w:p>
      <w:pPr>
        <w:ind w:firstLine="413" w:firstLineChars="196"/>
        <w:rPr>
          <w:rFonts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pPr>
        <w:ind w:firstLine="413" w:firstLineChars="196"/>
        <w:rPr>
          <w:rFonts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
          <w:szCs w:val="21"/>
        </w:rPr>
        <w:t>评审委员会</w:t>
      </w:r>
      <w:r>
        <w:rPr>
          <w:rFonts w:hint="eastAsia" w:ascii="宋体" w:hAnsi="宋体"/>
          <w:b/>
        </w:rPr>
        <w:t>按照招标文件规定的方式确定一个投标人获得中标人推荐资格，招标文件未规定的采取随机抽取方式确定，其他同品牌投标人不作为中标候选人。</w:t>
      </w:r>
    </w:p>
    <w:p>
      <w:pPr>
        <w:ind w:firstLine="413" w:firstLineChars="196"/>
        <w:rPr>
          <w:rFonts w:ascii="宋体" w:hAnsi="宋体"/>
          <w:b/>
        </w:rPr>
      </w:pPr>
      <w:r>
        <w:rPr>
          <w:rFonts w:hint="eastAsia" w:ascii="宋体" w:hAnsi="宋体"/>
          <w:b/>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pPr>
      <w:r>
        <w:rPr>
          <w:rFonts w:hint="eastAsia"/>
        </w:rPr>
        <w:t>32.4.3不同投标人的投标文件载明的项目管理成员或者联系人员为同一人；</w:t>
      </w:r>
    </w:p>
    <w:p>
      <w:pPr>
        <w:ind w:firstLine="411" w:firstLineChars="196"/>
      </w:pPr>
      <w:r>
        <w:rPr>
          <w:rFonts w:hint="eastAsia"/>
        </w:rPr>
        <w:t>32.4.4不同投标人的投标文件异常一致或者投标报价呈规律性差异；</w:t>
      </w:r>
    </w:p>
    <w:p>
      <w:pPr>
        <w:ind w:firstLine="411" w:firstLineChars="196"/>
      </w:pPr>
      <w:r>
        <w:rPr>
          <w:rFonts w:hint="eastAsia"/>
        </w:rPr>
        <w:t>32.4.5</w:t>
      </w:r>
      <w:r>
        <w:rPr>
          <w:rFonts w:ascii="宋体" w:hAnsi="宋体" w:cs="宋体"/>
          <w:b/>
          <w:kern w:val="0"/>
          <w:szCs w:val="21"/>
        </w:rPr>
        <w:t>不同投标供应商的投标文件或部分投标文件相互混装</w:t>
      </w:r>
      <w:r>
        <w:rPr>
          <w:rFonts w:hint="eastAsia"/>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ind w:firstLine="420" w:firstLineChars="200"/>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widowControl/>
        <w:jc w:val="left"/>
        <w:textAlignment w:val="baseline"/>
        <w:rPr>
          <w:rFonts w:ascii="宋体" w:hAnsi="宋体"/>
        </w:rPr>
      </w:pPr>
      <w:r>
        <w:rPr>
          <w:rFonts w:hint="eastAsia" w:ascii="宋体" w:hAnsi="宋体"/>
        </w:rPr>
        <w:t>　　投标人的澄清、说明或者补正应当采用书面形式，并加盖公章，或者由法定代表人或其授权的代表签字。投标人的澄清、说明或者补正不得超出投标文件的范围或者改变投标文件的实质性内容。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78" w:name="_Toc100052400"/>
      <w:bookmarkStart w:id="79" w:name="_Toc73518151"/>
      <w:bookmarkStart w:id="80" w:name="_Toc73521669"/>
      <w:bookmarkStart w:id="81" w:name="_Toc73521581"/>
      <w:bookmarkStart w:id="82" w:name="_Toc73517673"/>
      <w:r>
        <w:rPr>
          <w:rFonts w:hint="eastAsia" w:ascii="黑体" w:hAnsi="宋体" w:eastAsia="黑体"/>
          <w:sz w:val="24"/>
        </w:rPr>
        <w:t>34．错误的修正</w:t>
      </w:r>
      <w:bookmarkEnd w:id="78"/>
      <w:bookmarkEnd w:id="79"/>
      <w:bookmarkEnd w:id="80"/>
      <w:bookmarkEnd w:id="81"/>
      <w:bookmarkEnd w:id="82"/>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pPr>
        <w:rPr>
          <w:rFonts w:ascii="黑体" w:hAnsi="宋体" w:eastAsia="黑体"/>
          <w:sz w:val="24"/>
        </w:rPr>
      </w:pPr>
      <w:r>
        <w:rPr>
          <w:rFonts w:hint="eastAsia" w:ascii="黑体" w:hAnsi="宋体" w:eastAsia="黑体"/>
          <w:sz w:val="24"/>
        </w:rPr>
        <w:t>36.实地考察、演示或设备测试</w:t>
      </w:r>
    </w:p>
    <w:p>
      <w:pPr>
        <w:ind w:firstLine="411" w:firstLineChars="196"/>
        <w:rPr>
          <w:rFonts w:ascii="宋体" w:hAnsi="宋体"/>
          <w:szCs w:val="21"/>
        </w:rPr>
      </w:pPr>
      <w:r>
        <w:rPr>
          <w:rFonts w:hint="eastAsia" w:ascii="宋体" w:hAnsi="宋体"/>
          <w:szCs w:val="21"/>
        </w:rPr>
        <w:t>36.1在招标过程中，评审委员会有权决定是否对本项目投标人进行现场勘察或实地考察或检验有关证明材料的原件。投标人应随时做好接受检查的准备。</w:t>
      </w:r>
    </w:p>
    <w:p>
      <w:pPr>
        <w:ind w:firstLine="411" w:firstLineChars="196"/>
        <w:rPr>
          <w:rFonts w:ascii="宋体" w:hAnsi="宋体"/>
          <w:szCs w:val="21"/>
        </w:rPr>
      </w:pPr>
      <w:r>
        <w:rPr>
          <w:rFonts w:hint="eastAsia" w:ascii="宋体" w:hAnsi="宋体"/>
          <w:szCs w:val="21"/>
        </w:rPr>
        <w:t>36.2若招标文件要求进行现场演示或设备测试的，投标人应做好相应准备。</w:t>
      </w:r>
    </w:p>
    <w:p>
      <w:pPr>
        <w:rPr>
          <w:rFonts w:ascii="黑体" w:hAnsi="宋体" w:eastAsia="黑体"/>
          <w:sz w:val="24"/>
        </w:rPr>
      </w:pPr>
      <w:r>
        <w:rPr>
          <w:rFonts w:hint="eastAsia" w:ascii="黑体" w:hAnsi="宋体" w:eastAsia="黑体"/>
          <w:sz w:val="24"/>
        </w:rPr>
        <w:t>37．评标方法</w:t>
      </w:r>
    </w:p>
    <w:p>
      <w:pPr>
        <w:ind w:firstLine="413" w:firstLineChars="196"/>
        <w:rPr>
          <w:rFonts w:ascii="宋体" w:hAnsi="宋体"/>
          <w:b/>
          <w:bCs/>
          <w:szCs w:val="21"/>
        </w:rPr>
      </w:pPr>
      <w:r>
        <w:rPr>
          <w:rFonts w:hint="eastAsia" w:ascii="宋体" w:hAnsi="宋体"/>
          <w:b/>
          <w:bCs/>
          <w:szCs w:val="21"/>
        </w:rPr>
        <w:t>37.1最低价法</w:t>
      </w:r>
    </w:p>
    <w:p>
      <w:pPr>
        <w:ind w:firstLine="411" w:firstLineChars="196"/>
        <w:rPr>
          <w:rFonts w:ascii="宋体" w:hAnsi="宋体"/>
          <w:bCs/>
          <w:szCs w:val="21"/>
        </w:rPr>
      </w:pPr>
      <w:r>
        <w:rPr>
          <w:rFonts w:ascii="ˎ̥" w:hAnsi="ˎ̥"/>
        </w:rPr>
        <w:t>最低评标价法，是指投标文件满足招标文件全部实质性要求，</w:t>
      </w:r>
      <w:r>
        <w:rPr>
          <w:rFonts w:hint="eastAsia" w:ascii="ˎ̥" w:hAnsi="ˎ̥"/>
        </w:rPr>
        <w:t>按报价进行排序</w:t>
      </w:r>
      <w:r>
        <w:rPr>
          <w:rFonts w:ascii="ˎ̥" w:hAnsi="ˎ̥"/>
        </w:rPr>
        <w:t>且投标报价最低的投标人为中标</w:t>
      </w:r>
      <w:r>
        <w:rPr>
          <w:rFonts w:hint="eastAsia" w:ascii="ˎ̥" w:hAnsi="ˎ̥"/>
        </w:rPr>
        <w:t>候选人</w:t>
      </w:r>
      <w:r>
        <w:rPr>
          <w:rFonts w:ascii="ˎ̥" w:hAnsi="ˎ̥"/>
        </w:rPr>
        <w:t>的评标方法（</w:t>
      </w:r>
      <w:r>
        <w:rPr>
          <w:rFonts w:hint="eastAsia" w:ascii="ˎ̥" w:hAnsi="ˎ̥"/>
        </w:rPr>
        <w:t>排名</w:t>
      </w:r>
      <w:r>
        <w:rPr>
          <w:rFonts w:ascii="ˎ̥" w:hAnsi="ˎ̥"/>
        </w:rPr>
        <w:t>第二</w:t>
      </w:r>
      <w:r>
        <w:rPr>
          <w:rFonts w:hint="eastAsia" w:ascii="ˎ̥" w:hAnsi="ˎ̥"/>
        </w:rPr>
        <w:t>的投标人为第一递补中标候选人、排名</w:t>
      </w:r>
      <w:r>
        <w:rPr>
          <w:rFonts w:ascii="ˎ̥" w:hAnsi="ˎ̥"/>
        </w:rPr>
        <w:t>第</w:t>
      </w:r>
      <w:r>
        <w:rPr>
          <w:rFonts w:hint="eastAsia" w:ascii="ˎ̥" w:hAnsi="ˎ̥"/>
        </w:rPr>
        <w:t>三的投标人为第二递补中标候选人</w:t>
      </w:r>
      <w:r>
        <w:rPr>
          <w:rFonts w:ascii="ˎ̥" w:hAnsi="ˎ̥"/>
        </w:rPr>
        <w:t>）。</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ascii="ˎ̥" w:hAnsi="ˎ̥"/>
        </w:rPr>
      </w:pPr>
      <w:r>
        <w:rPr>
          <w:rFonts w:ascii="ˎ̥" w:hAnsi="ˎ̥"/>
        </w:rPr>
        <w:t>综合评分法，是指投标文件满足招标文件全部实质性要求，且按照评审因素的量化指标评审得分最高的投标人为中标</w:t>
      </w:r>
      <w:r>
        <w:rPr>
          <w:rFonts w:hint="eastAsia" w:ascii="ˎ̥" w:hAnsi="ˎ̥"/>
        </w:rPr>
        <w:t>候选人</w:t>
      </w:r>
      <w:r>
        <w:rPr>
          <w:rFonts w:ascii="ˎ̥" w:hAnsi="ˎ̥"/>
        </w:rPr>
        <w:t>的评标方法</w:t>
      </w:r>
      <w:r>
        <w:t>（</w:t>
      </w:r>
      <w:r>
        <w:rPr>
          <w:rFonts w:hint="eastAsia"/>
        </w:rPr>
        <w:t>排名</w:t>
      </w:r>
      <w:r>
        <w:t>第二</w:t>
      </w:r>
      <w:r>
        <w:rPr>
          <w:rFonts w:hint="eastAsia"/>
        </w:rPr>
        <w:t>的投标人为第一递补中标候选人、排名</w:t>
      </w:r>
      <w:r>
        <w:t>第</w:t>
      </w:r>
      <w:r>
        <w:rPr>
          <w:rFonts w:hint="eastAsia"/>
        </w:rPr>
        <w:t>三的投标人为第二递补中标候选人</w:t>
      </w:r>
      <w:r>
        <w:t>）</w:t>
      </w:r>
      <w:r>
        <w:rPr>
          <w:rFonts w:ascii="ˎ̥" w:hAnsi="ˎ̥"/>
        </w:rPr>
        <w:t>。</w:t>
      </w:r>
    </w:p>
    <w:p>
      <w:pPr>
        <w:ind w:firstLine="413" w:firstLineChars="196"/>
        <w:rPr>
          <w:rFonts w:ascii="宋体" w:hAnsi="宋体"/>
          <w:b/>
          <w:bCs/>
          <w:szCs w:val="21"/>
        </w:rPr>
      </w:pPr>
      <w:r>
        <w:rPr>
          <w:rFonts w:hint="eastAsia" w:ascii="宋体" w:hAnsi="宋体"/>
          <w:b/>
          <w:bCs/>
          <w:szCs w:val="21"/>
        </w:rPr>
        <w:t>37.1.3定性评审法</w:t>
      </w:r>
    </w:p>
    <w:p>
      <w:pPr>
        <w:ind w:firstLine="411" w:firstLineChars="196"/>
        <w:rPr>
          <w:rFonts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r>
        <w:rPr>
          <w:rFonts w:hint="eastAsia" w:ascii="宋体" w:hAnsi="宋体"/>
          <w:bCs/>
          <w:szCs w:val="21"/>
        </w:rPr>
        <w:t xml:space="preserve">                                                                                                                                                                                                                                                                                                                                                                                                                                                                                                                                                                                                                                                                                                                                                                                                                                                                                                                                                                                                                                                                                                                                                                                                                                                                                                                                                                                                                                                                                                                                                                                                                                                                                                                                                                                                                                                                                                                                                                                                                                                                                                                                                                                                                                                                                                                                                                                                                                                                                                                                                                                                                                                                                                                                                                                                                                                                                                                                                                                                                                              </w:t>
      </w:r>
    </w:p>
    <w:p>
      <w:pPr>
        <w:ind w:firstLine="413" w:firstLineChars="196"/>
        <w:rPr>
          <w:rFonts w:ascii="宋体" w:hAnsi="宋体"/>
          <w:b/>
          <w:bCs/>
          <w:szCs w:val="21"/>
        </w:rPr>
      </w:pPr>
      <w:r>
        <w:rPr>
          <w:rFonts w:hint="eastAsia" w:ascii="宋体" w:hAnsi="宋体"/>
          <w:b/>
          <w:bCs/>
          <w:szCs w:val="21"/>
        </w:rPr>
        <w:t>37.2 本项目采用的评标方法见本项目招标文件第一册“专用条款”的相关内容。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评标结果汇总完成后，除下列情形外，任何人不得修改评标结果：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投标人对本条第一款情形提出质疑的，采购人或者采购代理机构可以组织原评审委员会进行重新评审，重新评审改变评标结果的，应当书面报告本级财政部门。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评审委员会或者其成员存在下列情形导致评标结果无效的，重新组建评审委员会进行评标，并书面报告本级财政部门：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5"/>
        <w:numPr>
          <w:ilvl w:val="0"/>
          <w:numId w:val="10"/>
        </w:numPr>
        <w:spacing w:beforeLines="50" w:afterLines="50"/>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1.1评审委员会依据本项目招标文件所约定的评标方法进行评审和比较，向政府集中采购机构提交书面评标报告，并根据评标方法比较评价结果从优到劣进行排序，确定中标供应商及中标候选人。</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采用最低评标价法的，评标结果按投标报价由低到高顺序排列。投标报价相同的并列。投标文件满足招标文件全部实质性要求且投标报价最低的</w:t>
      </w:r>
      <w:r>
        <w:rPr>
          <w:rFonts w:hint="eastAsia" w:ascii="ˎ̥" w:hAnsi="ˎ̥"/>
        </w:rPr>
        <w:t>投标人为</w:t>
      </w:r>
      <w:r>
        <w:rPr>
          <w:rFonts w:ascii="ˎ̥" w:hAnsi="ˎ̥"/>
        </w:rPr>
        <w:t>排名第一的中标候选人（</w:t>
      </w:r>
      <w:r>
        <w:rPr>
          <w:rFonts w:hint="eastAsia" w:ascii="ˎ̥" w:hAnsi="ˎ̥"/>
        </w:rPr>
        <w:t>排名</w:t>
      </w:r>
      <w:r>
        <w:rPr>
          <w:rFonts w:ascii="ˎ̥" w:hAnsi="ˎ̥"/>
        </w:rPr>
        <w:t>第二</w:t>
      </w:r>
      <w:r>
        <w:rPr>
          <w:rFonts w:hint="eastAsia" w:ascii="ˎ̥" w:hAnsi="ˎ̥"/>
        </w:rPr>
        <w:t>的投标人为第一递补中标候选人、排名</w:t>
      </w:r>
      <w:r>
        <w:rPr>
          <w:rFonts w:ascii="ˎ̥" w:hAnsi="ˎ̥"/>
        </w:rPr>
        <w:t>第</w:t>
      </w:r>
      <w:r>
        <w:rPr>
          <w:rFonts w:hint="eastAsia" w:ascii="ˎ̥" w:hAnsi="ˎ̥"/>
        </w:rPr>
        <w:t>三的投标人为第二递补中标候选人</w:t>
      </w:r>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为排名第一的中标候选人（</w:t>
      </w:r>
      <w:r>
        <w:rPr>
          <w:rFonts w:hint="eastAsia" w:ascii="ˎ̥" w:hAnsi="ˎ̥"/>
        </w:rPr>
        <w:t>排名</w:t>
      </w:r>
      <w:r>
        <w:rPr>
          <w:rFonts w:ascii="ˎ̥" w:hAnsi="ˎ̥"/>
        </w:rPr>
        <w:t>第二</w:t>
      </w:r>
      <w:r>
        <w:rPr>
          <w:rFonts w:hint="eastAsia" w:ascii="ˎ̥" w:hAnsi="ˎ̥"/>
        </w:rPr>
        <w:t>的投标人为第一递补中标候选人、排名</w:t>
      </w:r>
      <w:r>
        <w:rPr>
          <w:rFonts w:ascii="ˎ̥" w:hAnsi="ˎ̥"/>
        </w:rPr>
        <w:t>第</w:t>
      </w:r>
      <w:r>
        <w:rPr>
          <w:rFonts w:hint="eastAsia" w:ascii="ˎ̥" w:hAnsi="ˎ̥"/>
        </w:rPr>
        <w:t>三的投标人为第二递补中标候选人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pPr>
        <w:ind w:firstLine="411" w:firstLineChars="196"/>
        <w:rPr>
          <w:rFonts w:ascii="宋体" w:hAnsi="宋体"/>
          <w:szCs w:val="21"/>
        </w:rPr>
      </w:pPr>
      <w:r>
        <w:rPr>
          <w:rFonts w:hint="eastAsia" w:ascii="宋体" w:hAnsi="宋体"/>
          <w:szCs w:val="21"/>
        </w:rPr>
        <w:t>38.2.2采用“综合评分法”评审方法的项目，评审委员会按照评审结果，依照招标文件第一册关键信息的内容推荐相应数量的候选中标供应商。</w:t>
      </w:r>
    </w:p>
    <w:p>
      <w:pPr>
        <w:ind w:firstLine="411" w:firstLineChars="196"/>
        <w:rPr>
          <w:rFonts w:ascii="宋体" w:hAnsi="宋体"/>
          <w:szCs w:val="21"/>
        </w:rPr>
      </w:pPr>
      <w:r>
        <w:rPr>
          <w:rFonts w:hint="eastAsia" w:ascii="宋体" w:hAnsi="宋体"/>
          <w:szCs w:val="21"/>
        </w:rPr>
        <w:t>38.2.3采购人应当按照自定法确定中标供应商：自定法是指采购人组织定标委员会，由定标委员会在候选中标供应商中确定中标供应商。</w:t>
      </w:r>
    </w:p>
    <w:p>
      <w:pPr>
        <w:ind w:firstLine="411" w:firstLineChars="196"/>
        <w:rPr>
          <w:rFonts w:ascii="宋体" w:hAnsi="宋体"/>
          <w:szCs w:val="21"/>
        </w:rPr>
      </w:pPr>
      <w:r>
        <w:rPr>
          <w:rFonts w:ascii="宋体" w:hAnsi="宋体"/>
          <w:szCs w:val="21"/>
        </w:rPr>
        <w:t>38.</w:t>
      </w:r>
      <w:r>
        <w:rPr>
          <w:rFonts w:hint="eastAsia" w:ascii="宋体" w:hAnsi="宋体"/>
          <w:szCs w:val="21"/>
        </w:rPr>
        <w:t>2.3.1自定法。</w:t>
      </w:r>
    </w:p>
    <w:p>
      <w:pPr>
        <w:ind w:firstLine="411" w:firstLineChars="196"/>
        <w:rPr>
          <w:rFonts w:ascii="宋体" w:hAnsi="宋体"/>
          <w:szCs w:val="21"/>
        </w:rPr>
      </w:pPr>
      <w:r>
        <w:rPr>
          <w:rFonts w:hint="eastAsia" w:ascii="宋体" w:hAnsi="宋体"/>
          <w:szCs w:val="21"/>
        </w:rPr>
        <w:t>操作程序：</w:t>
      </w:r>
    </w:p>
    <w:p>
      <w:pPr>
        <w:ind w:firstLine="411" w:firstLineChars="196"/>
        <w:rPr>
          <w:rFonts w:ascii="宋体" w:hAnsi="宋体"/>
          <w:szCs w:val="21"/>
        </w:rPr>
      </w:pPr>
      <w:r>
        <w:rPr>
          <w:rFonts w:hint="eastAsia" w:ascii="宋体" w:hAnsi="宋体"/>
          <w:szCs w:val="21"/>
        </w:rPr>
        <w:t>①政府集中采购机构自评审结束之日起2个工作日内通过系统将评审报告送交采购人。</w:t>
      </w:r>
    </w:p>
    <w:p>
      <w:pPr>
        <w:ind w:firstLine="411" w:firstLineChars="196"/>
        <w:rPr>
          <w:rFonts w:ascii="宋体" w:hAnsi="宋体"/>
          <w:szCs w:val="21"/>
        </w:rPr>
      </w:pPr>
      <w:r>
        <w:rPr>
          <w:rFonts w:hint="eastAsia" w:ascii="宋体" w:hAnsi="宋体"/>
          <w:szCs w:val="21"/>
        </w:rPr>
        <w:t>②采购人应当自收到评审报告之日起3个工作日内，组成定标委员会，召开定标会并确定中标供应商（中标供应商的具体数量由采购人在项目申报时确定并在招标文件中体现）。定标委员会可以选取直线票决法、集体议事法、累积投票法等三种方式之一定标，直线票决法分为一次票决、逐轮票决、先票决后抽签和先票决后竞价四种方式。中标供应商的确定流程：网上具体操作时，在结束辅助评标后，政府集中采购机构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pPr>
        <w:ind w:firstLine="411" w:firstLineChars="196"/>
        <w:rPr>
          <w:rFonts w:ascii="宋体" w:hAnsi="宋体"/>
          <w:szCs w:val="21"/>
        </w:rPr>
      </w:pPr>
      <w:r>
        <w:rPr>
          <w:rFonts w:hint="eastAsia" w:ascii="宋体" w:hAnsi="宋体"/>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pPr>
        <w:ind w:firstLine="411" w:firstLineChars="196"/>
        <w:rPr>
          <w:rFonts w:ascii="宋体" w:hAnsi="宋体"/>
          <w:szCs w:val="21"/>
        </w:rPr>
      </w:pPr>
      <w:r>
        <w:rPr>
          <w:rFonts w:hint="eastAsia" w:ascii="宋体" w:hAnsi="宋体"/>
          <w:szCs w:val="21"/>
        </w:rPr>
        <w:t>④采购人应当在公示结束后3个工作日内，通过系统将定标报告送政府集中采购机构备案。定标报告包括但不限于定标委员会候选人员名单、正式成员名单、定标委员会的产生过程、定标程序及定标结果等内容。</w:t>
      </w:r>
    </w:p>
    <w:p>
      <w:pPr>
        <w:ind w:firstLine="411" w:firstLineChars="196"/>
        <w:rPr>
          <w:rFonts w:ascii="宋体" w:hAnsi="宋体"/>
          <w:szCs w:val="21"/>
        </w:rPr>
      </w:pPr>
      <w:r>
        <w:rPr>
          <w:rFonts w:hint="eastAsia" w:ascii="宋体" w:hAnsi="宋体"/>
          <w:szCs w:val="21"/>
        </w:rPr>
        <w:t>⑤采购人逾期不确定的，政府集中采购机构将报主管部门处理，处理期间不计入采购期间。</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p>
    <w:p>
      <w:pPr>
        <w:rPr>
          <w:rFonts w:ascii="黑体" w:hAnsi="宋体" w:eastAsia="黑体"/>
          <w:sz w:val="24"/>
        </w:rPr>
      </w:pPr>
      <w:r>
        <w:rPr>
          <w:rFonts w:hint="eastAsia" w:ascii="黑体" w:hAnsi="宋体" w:eastAsia="黑体"/>
          <w:sz w:val="24"/>
        </w:rPr>
        <w:t>39．编写评标报告</w:t>
      </w:r>
    </w:p>
    <w:p>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40.1为体现“公开、公平、公正”的原则，评标结束后，政府集中采购机构将在“深圳交易集团有限公司政府采购业务分公司网页”（</w:t>
      </w:r>
      <w:r>
        <w:fldChar w:fldCharType="begin"/>
      </w:r>
      <w:r>
        <w:instrText xml:space="preserve"> HYPERLINK "http://www.szfb.gov.cn:8080/" </w:instrText>
      </w:r>
      <w:r>
        <w:fldChar w:fldCharType="separate"/>
      </w:r>
      <w:r>
        <w:rPr>
          <w:rFonts w:ascii="宋体" w:hAnsi="宋体"/>
          <w:szCs w:val="21"/>
          <w:u w:val="single"/>
        </w:rPr>
        <w:t>http://cgzx.sz.gov.cn/</w:t>
      </w:r>
      <w:r>
        <w:rPr>
          <w:rFonts w:ascii="宋体" w:hAnsi="宋体"/>
          <w:szCs w:val="21"/>
          <w:u w:val="single"/>
        </w:rPr>
        <w:fldChar w:fldCharType="end"/>
      </w:r>
      <w:r>
        <w:rPr>
          <w:rFonts w:hint="eastAsia" w:ascii="宋体" w:hAnsi="宋体"/>
          <w:szCs w:val="21"/>
        </w:rPr>
        <w:t>）上发布中标结果公告。供应商如对评标结果有异议，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若在公示期内未提出质疑，则视为认同该评标结果。</w:t>
      </w:r>
    </w:p>
    <w:p>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1中标公告公布以后，公示期内无有效质疑投诉，中标供应商和采购人可自行在“深圳交易集团有限公司政府采购业务分公司网页”（</w:t>
      </w:r>
      <w:r>
        <w:fldChar w:fldCharType="begin"/>
      </w:r>
      <w:r>
        <w:instrText xml:space="preserve"> HYPERLINK "http://www.szfb.gov.cn:8080/" </w:instrText>
      </w:r>
      <w:r>
        <w:fldChar w:fldCharType="separate"/>
      </w:r>
      <w:r>
        <w:rPr>
          <w:rFonts w:ascii="宋体" w:hAnsi="宋体"/>
          <w:szCs w:val="21"/>
          <w:u w:val="single"/>
        </w:rPr>
        <w:t>http://cgzx.sz.gov.cn/</w:t>
      </w:r>
      <w:r>
        <w:rPr>
          <w:rFonts w:ascii="宋体" w:hAnsi="宋体"/>
          <w:szCs w:val="21"/>
          <w:u w:val="single"/>
        </w:rPr>
        <w:fldChar w:fldCharType="end"/>
      </w:r>
      <w:r>
        <w:rPr>
          <w:rFonts w:hint="eastAsia" w:ascii="宋体" w:hAnsi="宋体"/>
          <w:szCs w:val="21"/>
        </w:rPr>
        <w:t>）上打印</w:t>
      </w:r>
      <w:r>
        <w:rPr>
          <w:rFonts w:hint="eastAsia" w:ascii="宋体" w:hAnsi="宋体"/>
          <w:b/>
          <w:szCs w:val="21"/>
        </w:rPr>
        <w:t>《数字中标通知书》（</w:t>
      </w:r>
      <w:r>
        <w:rPr>
          <w:rFonts w:hint="eastAsia" w:ascii="宋体" w:hAnsi="宋体"/>
          <w:szCs w:val="21"/>
        </w:rPr>
        <w:t>咨询电话：0755——</w:t>
      </w:r>
      <w:r>
        <w:rPr>
          <w:rFonts w:ascii="宋体"/>
          <w:bCs/>
          <w:szCs w:val="21"/>
        </w:rPr>
        <w:t>89805900 8980530</w:t>
      </w:r>
      <w:r>
        <w:rPr>
          <w:rFonts w:hint="eastAsia" w:ascii="宋体"/>
          <w:bCs/>
          <w:szCs w:val="21"/>
        </w:rPr>
        <w:t>0</w:t>
      </w:r>
      <w:r>
        <w:rPr>
          <w:rFonts w:hint="eastAsia" w:ascii="宋体" w:hAnsi="宋体"/>
          <w:szCs w:val="21"/>
        </w:rPr>
        <w:t>）。</w:t>
      </w:r>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41.3因质疑投诉或其它原因导致项目结果变更或采购终止的，政府集中采购机构有权吊销中标通知书或终止采购合同。</w:t>
      </w:r>
    </w:p>
    <w:p>
      <w:pPr>
        <w:pStyle w:val="5"/>
        <w:numPr>
          <w:ilvl w:val="0"/>
          <w:numId w:val="10"/>
        </w:numPr>
        <w:spacing w:beforeLines="50" w:afterLines="50"/>
        <w:rPr>
          <w:sz w:val="28"/>
          <w:szCs w:val="28"/>
        </w:rPr>
      </w:pPr>
      <w:r>
        <w:rPr>
          <w:rFonts w:hint="eastAsia"/>
          <w:sz w:val="28"/>
          <w:szCs w:val="28"/>
        </w:rPr>
        <w:t>公开招标失败的后续处理</w:t>
      </w:r>
    </w:p>
    <w:p>
      <w:pPr>
        <w:rPr>
          <w:rFonts w:ascii="黑体" w:hAnsi="宋体" w:eastAsia="黑体"/>
          <w:sz w:val="24"/>
        </w:rPr>
      </w:pPr>
      <w:r>
        <w:rPr>
          <w:rFonts w:hint="eastAsia" w:ascii="黑体" w:hAnsi="宋体" w:eastAsia="黑体"/>
          <w:sz w:val="24"/>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（2）根据实际情况需要向政府采购监督管理部门提出非公开招标方式申请，经政府采购监督管理部门批准，公开招标失败采购项目可转为竞争性谈判或单一来源谈判方式采购。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rPr>
          <w:rFonts w:ascii="黑体" w:hAnsi="宋体" w:eastAsia="黑体"/>
          <w:sz w:val="24"/>
        </w:rPr>
      </w:pPr>
      <w:r>
        <w:rPr>
          <w:rFonts w:hint="eastAsia" w:ascii="黑体" w:hAnsi="宋体" w:eastAsia="黑体"/>
          <w:sz w:val="24"/>
        </w:rPr>
        <w:t xml:space="preserve">    </w:t>
      </w:r>
      <w:r>
        <w:rPr>
          <w:rFonts w:hint="eastAsia" w:ascii="宋体" w:hAnsi="宋体"/>
        </w:rPr>
        <w:t>42.5公开招标失败的采购项目经政府采购监督管理部门批准转为竞争性谈判或单一来源谈判方式采购的，按规定要求组织政府采购工作。</w:t>
      </w:r>
    </w:p>
    <w:p>
      <w:pPr>
        <w:pStyle w:val="5"/>
        <w:numPr>
          <w:ilvl w:val="0"/>
          <w:numId w:val="10"/>
        </w:numPr>
        <w:spacing w:beforeLines="50" w:afterLines="50"/>
        <w:rPr>
          <w:sz w:val="28"/>
          <w:szCs w:val="28"/>
        </w:rPr>
      </w:pPr>
      <w:r>
        <w:rPr>
          <w:rFonts w:hint="eastAsia"/>
        </w:rPr>
        <w:t>合同的授予与备案</w:t>
      </w:r>
    </w:p>
    <w:p>
      <w:pPr>
        <w:rPr>
          <w:rFonts w:ascii="黑体" w:hAnsi="宋体" w:eastAsia="黑体"/>
          <w:sz w:val="24"/>
        </w:rPr>
      </w:pPr>
      <w:bookmarkStart w:id="83" w:name="_Toc100052408"/>
      <w:bookmarkStart w:id="84" w:name="_Toc73521674"/>
      <w:bookmarkStart w:id="85" w:name="_Toc73521586"/>
      <w:bookmarkStart w:id="86" w:name="_Toc73518157"/>
      <w:bookmarkStart w:id="87" w:name="_Toc73517679"/>
      <w:r>
        <w:rPr>
          <w:rFonts w:hint="eastAsia" w:ascii="黑体" w:hAnsi="宋体" w:eastAsia="黑体"/>
          <w:sz w:val="24"/>
        </w:rPr>
        <w:t>43．合同授予标准</w:t>
      </w:r>
      <w:bookmarkEnd w:id="83"/>
      <w:bookmarkEnd w:id="84"/>
      <w:bookmarkEnd w:id="85"/>
      <w:bookmarkEnd w:id="86"/>
      <w:bookmarkEnd w:id="87"/>
    </w:p>
    <w:p>
      <w:pPr>
        <w:ind w:firstLine="411" w:firstLineChars="196"/>
        <w:rPr>
          <w:rFonts w:ascii="宋体" w:hAnsi="宋体"/>
          <w:szCs w:val="21"/>
        </w:rPr>
      </w:pPr>
      <w:r>
        <w:rPr>
          <w:rFonts w:hint="eastAsia" w:ascii="宋体" w:hAnsi="宋体"/>
          <w:szCs w:val="21"/>
        </w:rPr>
        <w:t>本项目的合同将授予按本招标文件规定评审确定的中标人。</w:t>
      </w:r>
    </w:p>
    <w:p>
      <w:pPr>
        <w:rPr>
          <w:rFonts w:ascii="黑体" w:hAnsi="宋体" w:eastAsia="黑体"/>
          <w:sz w:val="24"/>
        </w:rPr>
      </w:pPr>
      <w:bookmarkStart w:id="88" w:name="_Toc73517680"/>
      <w:bookmarkStart w:id="89" w:name="_Toc73518158"/>
      <w:bookmarkStart w:id="90" w:name="_Toc73521587"/>
      <w:bookmarkStart w:id="91" w:name="_Toc73521675"/>
      <w:bookmarkStart w:id="92" w:name="_Toc100052409"/>
      <w:r>
        <w:rPr>
          <w:rFonts w:hint="eastAsia" w:ascii="黑体" w:hAnsi="宋体" w:eastAsia="黑体"/>
          <w:sz w:val="24"/>
        </w:rPr>
        <w:t>44．</w:t>
      </w:r>
      <w:bookmarkEnd w:id="88"/>
      <w:bookmarkEnd w:id="89"/>
      <w:bookmarkEnd w:id="90"/>
      <w:bookmarkEnd w:id="91"/>
      <w:bookmarkEnd w:id="92"/>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93" w:name="_Toc100052410"/>
      <w:bookmarkStart w:id="94" w:name="_Toc73517682"/>
      <w:bookmarkStart w:id="95" w:name="_Toc73518160"/>
      <w:bookmarkStart w:id="96" w:name="_Toc73521589"/>
      <w:bookmarkStart w:id="97" w:name="_Toc73521677"/>
      <w:r>
        <w:rPr>
          <w:rFonts w:hint="eastAsia" w:ascii="黑体" w:hAnsi="宋体" w:eastAsia="黑体"/>
          <w:sz w:val="24"/>
        </w:rPr>
        <w:t>45．合同协议书的签订</w:t>
      </w:r>
      <w:bookmarkEnd w:id="93"/>
      <w:bookmarkEnd w:id="94"/>
      <w:bookmarkEnd w:id="95"/>
      <w:bookmarkEnd w:id="96"/>
      <w:bookmarkEnd w:id="97"/>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98" w:name="_Toc73517683"/>
      <w:bookmarkStart w:id="99" w:name="_Toc73518161"/>
      <w:bookmarkStart w:id="100" w:name="_Toc73521590"/>
      <w:bookmarkStart w:id="101" w:name="_Toc73521678"/>
      <w:bookmarkStart w:id="102" w:name="_Toc100052411"/>
      <w:r>
        <w:rPr>
          <w:rFonts w:hint="eastAsia" w:ascii="黑体" w:hAnsi="宋体" w:eastAsia="黑体"/>
          <w:sz w:val="24"/>
        </w:rPr>
        <w:t>46．履约担保</w:t>
      </w:r>
      <w:bookmarkEnd w:id="98"/>
      <w:bookmarkEnd w:id="99"/>
      <w:bookmarkEnd w:id="100"/>
      <w:bookmarkEnd w:id="101"/>
      <w:bookmarkEnd w:id="102"/>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46.1在签订项目合同的同时，中标人应按“对通用条款的补充内容”中规定的金额向采购人提交履约保证金；</w:t>
      </w:r>
    </w:p>
    <w:p>
      <w:pPr>
        <w:ind w:firstLine="411" w:firstLineChars="196"/>
        <w:rPr>
          <w:rFonts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46.2如果中标人不能按“对通用条款的补充内容”中规定的金额向采购人提交履约保证金，采购人将有充分的理由通过政府采购监督管理部门废除中标，给采购人造成的损失应当予以赔偿；</w:t>
      </w:r>
    </w:p>
    <w:p>
      <w:pPr>
        <w:ind w:firstLine="411" w:firstLineChars="196"/>
        <w:rPr>
          <w:rFonts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pPr>
        <w:rPr>
          <w:rFonts w:ascii="黑体" w:hAnsi="宋体" w:eastAsia="黑体"/>
          <w:szCs w:val="21"/>
        </w:rPr>
      </w:pPr>
      <w:r>
        <w:rPr>
          <w:rFonts w:hint="eastAsia" w:ascii="黑体" w:hAnsi="宋体" w:eastAsia="黑体"/>
          <w:sz w:val="24"/>
        </w:rPr>
        <w:t>47.招标代理服务费</w:t>
      </w:r>
    </w:p>
    <w:p>
      <w:pPr>
        <w:ind w:firstLine="411" w:firstLineChars="196"/>
        <w:rPr>
          <w:rFonts w:ascii="宋体" w:hAnsi="宋体"/>
          <w:szCs w:val="21"/>
        </w:rPr>
      </w:pPr>
      <w:r>
        <w:rPr>
          <w:rFonts w:hint="eastAsia" w:ascii="宋体" w:hAnsi="宋体"/>
          <w:szCs w:val="21"/>
        </w:rPr>
        <w:t>47.1招标代理服务费参照深财购﹝2018﹞27号文及相关规定，具体收费标准如下表：</w:t>
      </w:r>
    </w:p>
    <w:tbl>
      <w:tblPr>
        <w:tblStyle w:val="42"/>
        <w:tblW w:w="7995" w:type="dxa"/>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110"/>
        <w:gridCol w:w="38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t>中标金额（万元）</w:t>
            </w:r>
          </w:p>
        </w:tc>
        <w:tc>
          <w:tcPr>
            <w:tcW w:w="3885" w:type="dxa"/>
            <w:vAlign w:val="center"/>
          </w:tcPr>
          <w:p>
            <w:pPr>
              <w:jc w:val="center"/>
            </w:pPr>
            <w:r>
              <w:t>收费费率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t>100</w:t>
            </w:r>
            <w:r>
              <w:rPr>
                <w:rFonts w:hint="eastAsia"/>
              </w:rPr>
              <w:t>以下</w:t>
            </w:r>
          </w:p>
        </w:tc>
        <w:tc>
          <w:tcPr>
            <w:tcW w:w="3885" w:type="dxa"/>
          </w:tcPr>
          <w:p>
            <w:r>
              <w:t>1.</w:t>
            </w:r>
            <w:r>
              <w:rPr>
                <w:rFonts w:hint="eastAsia"/>
              </w:rPr>
              <w:t>5</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t>100-500</w:t>
            </w:r>
          </w:p>
        </w:tc>
        <w:tc>
          <w:tcPr>
            <w:tcW w:w="3885" w:type="dxa"/>
          </w:tcPr>
          <w:p>
            <w:r>
              <w:rPr>
                <w:rFonts w:hint="eastAsia"/>
              </w:rPr>
              <w:t>0.8</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t>500-1000</w:t>
            </w:r>
          </w:p>
        </w:tc>
        <w:tc>
          <w:tcPr>
            <w:tcW w:w="3885" w:type="dxa"/>
          </w:tcPr>
          <w:p>
            <w:r>
              <w:t>0.</w:t>
            </w:r>
            <w:r>
              <w:rPr>
                <w:rFonts w:hint="eastAsia"/>
              </w:rPr>
              <w:t>45</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t>1000-5000</w:t>
            </w:r>
          </w:p>
        </w:tc>
        <w:tc>
          <w:tcPr>
            <w:tcW w:w="3885" w:type="dxa"/>
          </w:tcPr>
          <w:p>
            <w:r>
              <w:t>0.</w:t>
            </w:r>
            <w:r>
              <w:rPr>
                <w:rFonts w:hint="eastAsia"/>
              </w:rPr>
              <w:t>25</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t>5000-10000</w:t>
            </w:r>
          </w:p>
        </w:tc>
        <w:tc>
          <w:tcPr>
            <w:tcW w:w="3885" w:type="dxa"/>
          </w:tcPr>
          <w:p>
            <w:r>
              <w:t>0.</w:t>
            </w:r>
            <w:r>
              <w:rPr>
                <w:rFonts w:hint="eastAsia"/>
              </w:rPr>
              <w:t>1</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t>10000-100000</w:t>
            </w:r>
          </w:p>
        </w:tc>
        <w:tc>
          <w:tcPr>
            <w:tcW w:w="3885" w:type="dxa"/>
          </w:tcPr>
          <w:p>
            <w:r>
              <w:t>0.0</w:t>
            </w:r>
            <w:r>
              <w:rPr>
                <w:rFonts w:hint="eastAsia"/>
              </w:rPr>
              <w:t>5</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4110" w:type="dxa"/>
          </w:tcPr>
          <w:p>
            <w:r>
              <w:rPr>
                <w:rFonts w:hint="eastAsia"/>
              </w:rPr>
              <w:t>100000以上</w:t>
            </w:r>
          </w:p>
        </w:tc>
        <w:tc>
          <w:tcPr>
            <w:tcW w:w="3885" w:type="dxa"/>
          </w:tcPr>
          <w:p>
            <w:r>
              <w:rPr>
                <w:rFonts w:hint="eastAsia"/>
              </w:rPr>
              <w:t>0.01%</w:t>
            </w:r>
          </w:p>
        </w:tc>
      </w:tr>
    </w:tbl>
    <w:p>
      <w:pPr>
        <w:ind w:firstLine="411" w:firstLineChars="196"/>
        <w:rPr>
          <w:rFonts w:ascii="宋体" w:hAnsi="宋体"/>
          <w:szCs w:val="21"/>
        </w:rPr>
      </w:pPr>
      <w:r>
        <w:rPr>
          <w:rFonts w:hint="eastAsia" w:ascii="宋体" w:hAnsi="宋体"/>
          <w:szCs w:val="21"/>
        </w:rPr>
        <w:t>注：</w:t>
      </w:r>
    </w:p>
    <w:p>
      <w:pPr>
        <w:ind w:firstLine="411" w:firstLineChars="196"/>
        <w:rPr>
          <w:rFonts w:ascii="宋体" w:hAnsi="宋体"/>
          <w:szCs w:val="21"/>
        </w:rPr>
      </w:pPr>
      <w:r>
        <w:rPr>
          <w:rFonts w:hint="eastAsia" w:ascii="宋体" w:hAnsi="宋体"/>
          <w:szCs w:val="21"/>
        </w:rPr>
        <w:t>(1)以中标通知书中确定的中标总金额作为缴费的计算基数。</w:t>
      </w:r>
    </w:p>
    <w:p>
      <w:pPr>
        <w:ind w:firstLine="411" w:firstLineChars="196"/>
        <w:rPr>
          <w:rFonts w:ascii="宋体" w:hAnsi="宋体"/>
          <w:szCs w:val="21"/>
        </w:rPr>
      </w:pPr>
      <w:r>
        <w:rPr>
          <w:rFonts w:hint="eastAsia" w:ascii="宋体" w:hAnsi="宋体"/>
          <w:szCs w:val="21"/>
        </w:rPr>
        <w:t>(2)招标代理服务费按差额定率累进法计算。</w:t>
      </w:r>
    </w:p>
    <w:p>
      <w:pPr>
        <w:ind w:firstLine="411" w:firstLineChars="196"/>
        <w:rPr>
          <w:rFonts w:ascii="宋体" w:hAnsi="宋体"/>
          <w:szCs w:val="21"/>
        </w:rPr>
      </w:pPr>
      <w:r>
        <w:rPr>
          <w:rFonts w:hint="eastAsia" w:ascii="宋体" w:hAnsi="宋体"/>
          <w:szCs w:val="21"/>
        </w:rPr>
        <w:t>(3)领取中标通知书前向采购代理机构缴纳服务费。缴纳服务费账户信息：</w:t>
      </w:r>
    </w:p>
    <w:p>
      <w:pPr>
        <w:ind w:firstLine="411" w:firstLineChars="196"/>
        <w:rPr>
          <w:rFonts w:ascii="宋体" w:hAnsi="宋体"/>
          <w:szCs w:val="21"/>
        </w:rPr>
      </w:pPr>
      <w:r>
        <w:rPr>
          <w:rFonts w:hint="eastAsia" w:ascii="宋体" w:hAnsi="宋体"/>
          <w:szCs w:val="21"/>
        </w:rPr>
        <w:t>账户名称：三方诚信招标有限公司</w:t>
      </w:r>
    </w:p>
    <w:p>
      <w:pPr>
        <w:ind w:firstLine="411" w:firstLineChars="196"/>
        <w:rPr>
          <w:rFonts w:ascii="宋体" w:hAnsi="宋体"/>
          <w:szCs w:val="21"/>
        </w:rPr>
      </w:pPr>
      <w:r>
        <w:rPr>
          <w:rFonts w:hint="eastAsia" w:ascii="宋体" w:hAnsi="宋体"/>
          <w:szCs w:val="21"/>
        </w:rPr>
        <w:t>帐    号：744567948278</w:t>
      </w:r>
    </w:p>
    <w:p>
      <w:pPr>
        <w:ind w:firstLine="411" w:firstLineChars="196"/>
        <w:rPr>
          <w:rFonts w:ascii="宋体" w:hAnsi="宋体"/>
          <w:szCs w:val="21"/>
        </w:rPr>
      </w:pPr>
      <w:r>
        <w:rPr>
          <w:rFonts w:hint="eastAsia" w:ascii="宋体" w:hAnsi="宋体"/>
          <w:szCs w:val="21"/>
        </w:rPr>
        <w:t>开户银行：中国银行深圳东海支行</w:t>
      </w:r>
    </w:p>
    <w:p>
      <w:pPr>
        <w:rPr>
          <w:rFonts w:ascii="黑体" w:hAnsi="宋体" w:eastAsia="黑体"/>
          <w:sz w:val="24"/>
        </w:rPr>
      </w:pPr>
      <w:r>
        <w:rPr>
          <w:rFonts w:hint="eastAsia" w:ascii="黑体" w:hAnsi="宋体" w:eastAsia="黑体"/>
          <w:sz w:val="24"/>
        </w:rPr>
        <w:t>48.合同的备案</w:t>
      </w:r>
    </w:p>
    <w:p>
      <w:pPr>
        <w:ind w:firstLine="411" w:firstLineChars="196"/>
        <w:rPr>
          <w:rFonts w:ascii="宋体" w:hAnsi="宋体"/>
          <w:szCs w:val="21"/>
        </w:rPr>
      </w:pPr>
      <w:r>
        <w:rPr>
          <w:rFonts w:hint="eastAsia" w:ascii="宋体" w:hAnsi="宋体"/>
          <w:szCs w:val="21"/>
        </w:rPr>
        <w:t>采购人与中标人应于合同签订之日起十日内，由采购人或委托中标人将采购合同副本抄送政府集中采购机构备案。</w:t>
      </w:r>
    </w:p>
    <w:p>
      <w:pPr>
        <w:rPr>
          <w:rFonts w:ascii="黑体" w:hAnsi="宋体" w:eastAsia="黑体"/>
          <w:sz w:val="24"/>
        </w:rPr>
      </w:pPr>
      <w:r>
        <w:rPr>
          <w:rFonts w:hint="eastAsia" w:ascii="黑体" w:hAnsi="宋体" w:eastAsia="黑体"/>
          <w:sz w:val="24"/>
        </w:rPr>
        <w:t>49. 合同的变更</w:t>
      </w:r>
    </w:p>
    <w:p>
      <w:pPr>
        <w:ind w:firstLine="411" w:firstLineChars="196"/>
        <w:rPr>
          <w:rFonts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pPr>
        <w:rPr>
          <w:rFonts w:ascii="黑体" w:hAnsi="宋体" w:eastAsia="黑体"/>
          <w:sz w:val="24"/>
        </w:rPr>
      </w:pPr>
      <w:r>
        <w:rPr>
          <w:rFonts w:hint="eastAsia" w:ascii="黑体" w:hAnsi="宋体" w:eastAsia="黑体"/>
          <w:sz w:val="24"/>
        </w:rPr>
        <w:t>50.履约情况的反馈</w:t>
      </w:r>
    </w:p>
    <w:p>
      <w:pPr>
        <w:widowControl/>
        <w:ind w:right="176" w:firstLine="420" w:firstLineChars="200"/>
        <w:jc w:val="left"/>
        <w:rPr>
          <w:rFonts w:ascii="宋体" w:hAnsi="宋体"/>
        </w:rPr>
      </w:pPr>
      <w:r>
        <w:rPr>
          <w:rFonts w:hint="eastAsia" w:ascii="宋体" w:hAnsi="宋体"/>
        </w:rPr>
        <w:t>50.1供应商必须诚信履约，采购人必须对采购项目实施组织履约验收。必要时，深圳市政府采购中心将对采购项目进行履约抽检评价。如未按合同履约，将按《深圳经济特区政府采购条例》第五十七条有关规定、《深圳市政府采购供应商诚信管理暂行办法》及其操作细则进行处理。</w:t>
      </w:r>
    </w:p>
    <w:p>
      <w:pPr>
        <w:widowControl/>
        <w:ind w:right="176" w:firstLine="420" w:firstLineChars="200"/>
        <w:jc w:val="left"/>
        <w:rPr>
          <w:rFonts w:ascii="宋体" w:hAnsi="宋体"/>
        </w:rPr>
      </w:pPr>
      <w:r>
        <w:rPr>
          <w:rFonts w:hint="eastAsia" w:ascii="宋体" w:hAnsi="宋体"/>
        </w:rPr>
        <w:t>50.2</w:t>
      </w:r>
      <w:r>
        <w:rPr>
          <w:rFonts w:ascii="宋体" w:hAnsi="宋体"/>
        </w:rPr>
        <w:t>采购人和供应商应当在采购合同履行完毕三十日之内将政府采购合同履行情况和相关政府采购建议等反馈至政府集中采购机构。</w:t>
      </w:r>
    </w:p>
    <w:p>
      <w:pPr>
        <w:rPr>
          <w:rFonts w:ascii="黑体" w:hAnsi="宋体" w:eastAsia="黑体"/>
          <w:sz w:val="24"/>
        </w:rPr>
      </w:pPr>
      <w:r>
        <w:rPr>
          <w:rFonts w:hint="eastAsia" w:ascii="黑体" w:hAnsi="宋体" w:eastAsia="黑体"/>
          <w:sz w:val="24"/>
        </w:rPr>
        <w:t>51.宣传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必须事先将具体对外宣传方案报市财政委和政府集中采购机构，并征得其同意。对外市场宣传包括但不限于以下形式：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52.供应商违法责任</w:t>
      </w:r>
    </w:p>
    <w:p>
      <w:pPr>
        <w:ind w:firstLine="411" w:firstLineChars="196"/>
        <w:rPr>
          <w:rFonts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pStyle w:val="5"/>
        <w:numPr>
          <w:ilvl w:val="0"/>
          <w:numId w:val="10"/>
        </w:numPr>
        <w:spacing w:beforeLines="50" w:afterLines="50"/>
        <w:ind w:left="482" w:hanging="482"/>
      </w:pPr>
      <w:r>
        <w:rPr>
          <w:rFonts w:hint="eastAsia"/>
        </w:rPr>
        <w:t>质疑处理</w:t>
      </w:r>
    </w:p>
    <w:p>
      <w:pPr>
        <w:rPr>
          <w:rFonts w:ascii="黑体" w:hAnsi="宋体" w:eastAsia="黑体"/>
          <w:sz w:val="24"/>
        </w:rPr>
      </w:pPr>
      <w:r>
        <w:rPr>
          <w:rFonts w:hint="eastAsia" w:ascii="黑体" w:hAnsi="宋体" w:eastAsia="黑体"/>
          <w:sz w:val="24"/>
        </w:rPr>
        <w:t>53.质疑提出与答复</w:t>
      </w:r>
    </w:p>
    <w:p>
      <w:pPr>
        <w:ind w:firstLine="420" w:firstLineChars="200"/>
        <w:rPr>
          <w:rFonts w:ascii="宋体" w:hAnsi="宋体"/>
          <w:szCs w:val="21"/>
        </w:rPr>
      </w:pPr>
      <w:r>
        <w:rPr>
          <w:rFonts w:hint="eastAsia" w:ascii="宋体" w:hAnsi="宋体"/>
          <w:szCs w:val="21"/>
        </w:rPr>
        <w:t>53.1提出质疑</w:t>
      </w:r>
    </w:p>
    <w:p>
      <w:pPr>
        <w:ind w:firstLine="420" w:firstLineChars="200"/>
        <w:rPr>
          <w:rFonts w:ascii="宋体" w:hAnsi="宋体"/>
          <w:szCs w:val="21"/>
        </w:rPr>
      </w:pPr>
      <w:r>
        <w:rPr>
          <w:rFonts w:hint="eastAsia" w:ascii="宋体" w:hAnsi="宋体"/>
          <w:szCs w:val="21"/>
        </w:rPr>
        <w:t>参与政府采购活动的供应商认为自己的权益在采购活动中受到损害的，应当自知道或者应当知道其权益受到损害之日起七个工作日内向采购人、政府集中采购机构以书面形式提出质疑。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ascii="宋体" w:hAnsi="宋体"/>
          <w:szCs w:val="21"/>
        </w:rPr>
      </w:pPr>
      <w:r>
        <w:rPr>
          <w:rFonts w:hint="eastAsia" w:ascii="宋体" w:hAnsi="宋体"/>
          <w:szCs w:val="21"/>
        </w:rPr>
        <w:t>53.2</w:t>
      </w:r>
      <w:r>
        <w:rPr>
          <w:rFonts w:ascii="宋体" w:hAnsi="宋体"/>
          <w:szCs w:val="21"/>
        </w:rPr>
        <w:t>法律依据</w:t>
      </w:r>
    </w:p>
    <w:p>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ascii="宋体" w:hAnsi="宋体"/>
          <w:szCs w:val="21"/>
        </w:rPr>
      </w:pPr>
      <w:r>
        <w:rPr>
          <w:rFonts w:hint="eastAsia" w:ascii="宋体" w:hAnsi="宋体"/>
          <w:szCs w:val="21"/>
        </w:rPr>
        <w:t>53.3质疑条件</w:t>
      </w:r>
    </w:p>
    <w:p>
      <w:pPr>
        <w:ind w:firstLine="420" w:firstLineChars="200"/>
        <w:rPr>
          <w:rFonts w:ascii="宋体" w:hAnsi="宋体"/>
          <w:szCs w:val="21"/>
        </w:rPr>
      </w:pPr>
      <w:r>
        <w:rPr>
          <w:rFonts w:hint="eastAsia" w:ascii="宋体" w:hAnsi="宋体"/>
          <w:szCs w:val="21"/>
        </w:rPr>
        <w:t>53.3.1提出质疑的供应商应当是参与所质疑项目采购活动的供应商；</w:t>
      </w:r>
    </w:p>
    <w:p>
      <w:pPr>
        <w:spacing w:line="312" w:lineRule="atLeast"/>
        <w:ind w:firstLine="420" w:firstLineChars="200"/>
        <w:textAlignment w:val="center"/>
        <w:rPr>
          <w:rFonts w:ascii="Segoe UI" w:hAnsi="Segoe UI" w:cs="Segoe UI"/>
          <w:color w:val="666666"/>
          <w:kern w:val="0"/>
          <w:sz w:val="17"/>
          <w:szCs w:val="17"/>
        </w:rPr>
      </w:pPr>
      <w:r>
        <w:rPr>
          <w:rFonts w:hint="eastAsia" w:ascii="宋体" w:hAnsi="宋体"/>
          <w:szCs w:val="21"/>
        </w:rPr>
        <w:t>53.3.2</w:t>
      </w:r>
      <w:r>
        <w:rPr>
          <w:rFonts w:hint="eastAsia" w:ascii="宋体" w:hAnsi="宋体" w:cs="Segoe UI"/>
          <w:color w:val="000000"/>
          <w:kern w:val="0"/>
          <w:sz w:val="22"/>
        </w:rPr>
        <w:t>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pPr>
        <w:ind w:firstLine="420" w:firstLineChars="200"/>
        <w:rPr>
          <w:rFonts w:ascii="宋体" w:hAnsi="宋体"/>
          <w:szCs w:val="21"/>
        </w:rPr>
      </w:pPr>
      <w:r>
        <w:rPr>
          <w:rFonts w:hint="eastAsia" w:ascii="宋体" w:hAnsi="宋体"/>
          <w:szCs w:val="21"/>
        </w:rPr>
        <w:t>53.3.3应提交书面质疑函，质疑函应当包括以下内容：（1）具体、明确的质疑事项和与质疑事项相关的请求；（2）合理的事实和依据；（3）必要的证明材料和法律依据。注：质疑函范本可在政府集中采购机构网站下载。</w:t>
      </w:r>
    </w:p>
    <w:p>
      <w:pPr>
        <w:ind w:firstLine="420" w:firstLineChars="200"/>
        <w:rPr>
          <w:rFonts w:ascii="宋体" w:hAnsi="宋体"/>
          <w:szCs w:val="21"/>
        </w:rPr>
      </w:pPr>
      <w:r>
        <w:rPr>
          <w:rFonts w:hint="eastAsia" w:ascii="宋体" w:hAnsi="宋体"/>
          <w:szCs w:val="21"/>
        </w:rPr>
        <w:t>53.4提交</w:t>
      </w:r>
      <w:r>
        <w:rPr>
          <w:rFonts w:ascii="宋体" w:hAnsi="宋体"/>
          <w:szCs w:val="21"/>
        </w:rPr>
        <w:t>材料</w:t>
      </w:r>
    </w:p>
    <w:p>
      <w:pPr>
        <w:ind w:firstLine="420" w:firstLineChars="20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pPr>
        <w:ind w:firstLine="420" w:firstLineChars="200"/>
        <w:rPr>
          <w:rFonts w:ascii="宋体" w:hAnsi="宋体"/>
          <w:szCs w:val="21"/>
        </w:rPr>
      </w:pPr>
      <w:r>
        <w:rPr>
          <w:rFonts w:hint="eastAsia" w:ascii="宋体" w:hAnsi="宋体"/>
          <w:szCs w:val="21"/>
        </w:rPr>
        <w:t>53.5收文部门</w:t>
      </w:r>
    </w:p>
    <w:p>
      <w:pPr>
        <w:ind w:firstLine="420" w:firstLineChars="200"/>
        <w:rPr>
          <w:rFonts w:ascii="宋体" w:hAnsi="宋体"/>
          <w:szCs w:val="21"/>
        </w:rPr>
      </w:pPr>
      <w:r>
        <w:rPr>
          <w:rFonts w:hint="eastAsia" w:ascii="宋体" w:hAnsi="宋体"/>
          <w:szCs w:val="21"/>
        </w:rPr>
        <w:t>深圳市福田区泰然九路金润大厦7层E单元。质疑咨询电话：0755-82800088。</w:t>
      </w:r>
    </w:p>
    <w:p>
      <w:pPr>
        <w:ind w:firstLine="420" w:firstLineChars="200"/>
        <w:rPr>
          <w:rFonts w:ascii="宋体" w:hAnsi="宋体"/>
          <w:szCs w:val="21"/>
        </w:rPr>
      </w:pPr>
      <w:r>
        <w:rPr>
          <w:rFonts w:hint="eastAsia" w:ascii="宋体" w:hAnsi="宋体"/>
          <w:szCs w:val="21"/>
        </w:rPr>
        <w:t>53.6收文办理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53.6.1供应商提交的质疑材料符合质疑条件的办理收文，出具收文回执；</w:t>
      </w:r>
    </w:p>
    <w:p>
      <w:pPr>
        <w:ind w:firstLine="420" w:firstLineChars="200"/>
        <w:rPr>
          <w:rFonts w:ascii="宋体" w:hAnsi="宋体"/>
          <w:szCs w:val="21"/>
        </w:rPr>
      </w:pPr>
      <w:r>
        <w:rPr>
          <w:rFonts w:hint="eastAsia" w:ascii="宋体" w:hAnsi="宋体"/>
          <w:szCs w:val="21"/>
        </w:rPr>
        <w:t>53.6.2供应商提交的质疑材料不符合质疑条件的，视情况处理：（1）质疑主体、时限不符合的，不予收文；（2）质疑函内容、提交人身份证明不符合的，开具补正告知书，供应商可在质疑期内补正后重新提交。</w:t>
      </w:r>
    </w:p>
    <w:p>
      <w:pPr>
        <w:ind w:firstLine="420" w:firstLineChars="200"/>
        <w:rPr>
          <w:rFonts w:ascii="宋体" w:hAnsi="宋体"/>
          <w:szCs w:val="21"/>
        </w:rPr>
      </w:pPr>
      <w:r>
        <w:rPr>
          <w:rFonts w:hint="eastAsia" w:ascii="宋体" w:hAnsi="宋体"/>
          <w:szCs w:val="21"/>
        </w:rPr>
        <w:t>53.7质疑答复时限</w:t>
      </w:r>
    </w:p>
    <w:p>
      <w:pPr>
        <w:ind w:firstLine="420" w:firstLineChars="200"/>
        <w:rPr>
          <w:rFonts w:ascii="宋体" w:hAnsi="宋体"/>
          <w:szCs w:val="21"/>
        </w:rPr>
      </w:pPr>
      <w:r>
        <w:rPr>
          <w:rFonts w:hint="eastAsia" w:ascii="宋体" w:hAnsi="宋体"/>
          <w:szCs w:val="21"/>
        </w:rPr>
        <w:t>自收文之日起七个工作日内。</w:t>
      </w:r>
    </w:p>
    <w:p>
      <w:pPr>
        <w:ind w:firstLine="420" w:firstLineChars="200"/>
        <w:rPr>
          <w:rFonts w:ascii="宋体" w:hAnsi="宋体"/>
          <w:szCs w:val="21"/>
        </w:rPr>
      </w:pPr>
      <w:r>
        <w:rPr>
          <w:rFonts w:hint="eastAsia" w:ascii="宋体" w:hAnsi="宋体"/>
          <w:szCs w:val="21"/>
        </w:rPr>
        <w:t>53.8投诉</w:t>
      </w:r>
    </w:p>
    <w:p>
      <w:pPr>
        <w:ind w:firstLine="420" w:firstLineChars="200"/>
        <w:rPr>
          <w:rFonts w:ascii="黑体" w:hAnsi="宋体" w:eastAsia="黑体"/>
          <w:sz w:val="24"/>
        </w:rPr>
      </w:pPr>
      <w:r>
        <w:rPr>
          <w:rFonts w:hint="eastAsia" w:ascii="宋体" w:hAnsi="宋体"/>
          <w:szCs w:val="21"/>
        </w:rPr>
        <w:t>对质疑答复不满意或者未在规定时间内答复的，提出质疑的供应商可以在答复期满后15个工作日内向深圳市财政局投诉。</w:t>
      </w:r>
    </w:p>
    <w:p>
      <w:pPr>
        <w:rPr>
          <w:rFonts w:ascii="黑体" w:hAnsi="宋体" w:eastAsia="黑体"/>
          <w:sz w:val="24"/>
        </w:rPr>
      </w:pPr>
      <w:r>
        <w:rPr>
          <w:rFonts w:hint="eastAsia" w:ascii="黑体" w:hAnsi="宋体" w:eastAsia="黑体"/>
          <w:sz w:val="24"/>
        </w:rPr>
        <w:t>54.质疑后续处理</w:t>
      </w:r>
    </w:p>
    <w:p>
      <w:pPr>
        <w:rPr>
          <w:rFonts w:ascii="宋体" w:hAnsi="宋体"/>
          <w:szCs w:val="21"/>
        </w:rPr>
      </w:pPr>
      <w:r>
        <w:rPr>
          <w:rFonts w:hint="eastAsia" w:ascii="宋体" w:hAnsi="宋体"/>
          <w:szCs w:val="21"/>
        </w:rPr>
        <w:t xml:space="preserve">    54.1供应商质疑不成立，或者成立但未对中标、成交结果构成影响的，继续开展采购活动。</w:t>
      </w:r>
    </w:p>
    <w:p>
      <w:pPr>
        <w:ind w:firstLine="419"/>
        <w:rPr>
          <w:rFonts w:ascii="宋体" w:hAnsi="宋体"/>
          <w:szCs w:val="21"/>
        </w:rPr>
      </w:pPr>
      <w:r>
        <w:rPr>
          <w:rFonts w:hint="eastAsia" w:ascii="宋体" w:hAnsi="宋体"/>
          <w:szCs w:val="21"/>
        </w:rPr>
        <w:t>54.2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pPr>
      <w:r>
        <w:t>---- END ----</w:t>
      </w:r>
    </w:p>
    <w:p>
      <w:pPr>
        <w:ind w:firstLine="419"/>
        <w:rPr>
          <w:rFonts w:ascii="宋体" w:hAnsi="宋体"/>
          <w:szCs w:val="21"/>
        </w:rPr>
      </w:pPr>
    </w:p>
    <w:p>
      <w:pPr>
        <w:ind w:firstLine="480" w:firstLineChars="200"/>
        <w:rPr>
          <w:rFonts w:ascii="黑体" w:hAnsi="宋体" w:eastAsia="黑体"/>
          <w:sz w:val="24"/>
        </w:rPr>
      </w:pPr>
    </w:p>
    <w:sectPr>
      <w:pgSz w:w="11907" w:h="16840"/>
      <w:pgMar w:top="1440" w:right="1797" w:bottom="1440" w:left="1797" w:header="851" w:footer="992" w:gutter="0"/>
      <w:cols w:space="425"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汉仪细等线简">
    <w:altName w:val="宋体"/>
    <w:panose1 w:val="00000000000000000000"/>
    <w:charset w:val="86"/>
    <w:family w:val="auto"/>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37</w:t>
    </w:r>
    <w:r>
      <w:fldChar w:fldCharType="end"/>
    </w:r>
    <w:r>
      <w:t xml:space="preserve"> -</w: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4E893638"/>
    <w:multiLevelType w:val="multilevel"/>
    <w:tmpl w:val="4E893638"/>
    <w:lvl w:ilvl="0" w:tentative="0">
      <w:start w:val="1"/>
      <w:numFmt w:val="decimal"/>
      <w:lvlText w:val="%1."/>
      <w:lvlJc w:val="left"/>
      <w:pPr>
        <w:tabs>
          <w:tab w:val="left" w:pos="907"/>
        </w:tabs>
        <w:ind w:left="907" w:hanging="907"/>
      </w:pPr>
      <w:rPr>
        <w:rFonts w:hint="default" w:ascii="Times New Roman" w:hAnsi="Times New Roman" w:cs="Times New Roman"/>
      </w:rPr>
    </w:lvl>
    <w:lvl w:ilvl="1" w:tentative="0">
      <w:start w:val="1"/>
      <w:numFmt w:val="decimal"/>
      <w:lvlText w:val="%1.%2."/>
      <w:lvlJc w:val="left"/>
      <w:pPr>
        <w:tabs>
          <w:tab w:val="left" w:pos="907"/>
        </w:tabs>
        <w:ind w:left="907" w:hanging="907"/>
      </w:pPr>
      <w:rPr>
        <w:rFonts w:hint="default" w:ascii="Times New Roman" w:hAnsi="Times New Roman" w:cs="Times New Roman"/>
        <w:b w:val="0"/>
        <w:sz w:val="21"/>
        <w:szCs w:val="21"/>
      </w:rPr>
    </w:lvl>
    <w:lvl w:ilvl="2" w:tentative="0">
      <w:start w:val="1"/>
      <w:numFmt w:val="decimal"/>
      <w:lvlText w:val="%1.%2.%3."/>
      <w:lvlJc w:val="left"/>
      <w:pPr>
        <w:tabs>
          <w:tab w:val="left" w:pos="907"/>
        </w:tabs>
        <w:ind w:left="907" w:hanging="907"/>
      </w:pPr>
      <w:rPr>
        <w:rFonts w:hint="default" w:ascii="Times New Roman" w:hAnsi="Times New Roman" w:cs="Times New Roman"/>
      </w:rPr>
    </w:lvl>
    <w:lvl w:ilvl="3" w:tentative="0">
      <w:start w:val="1"/>
      <w:numFmt w:val="decimal"/>
      <w:lvlText w:val="%1.%2.%3.%4."/>
      <w:lvlJc w:val="left"/>
      <w:pPr>
        <w:ind w:left="907" w:hanging="907"/>
      </w:pPr>
      <w:rPr>
        <w:rFonts w:hint="default" w:ascii="Times New Roman" w:hAnsi="Times New Roman" w:cs="Times New Roman"/>
        <w:b w:val="0"/>
      </w:rPr>
    </w:lvl>
    <w:lvl w:ilvl="4" w:tentative="0">
      <w:start w:val="1"/>
      <w:numFmt w:val="decimal"/>
      <w:lvlText w:val="%1.%2.%3.%4.%5."/>
      <w:lvlJc w:val="left"/>
      <w:pPr>
        <w:ind w:left="907" w:hanging="907"/>
      </w:pPr>
      <w:rPr>
        <w:rFonts w:hint="default" w:ascii="Times New Roman" w:hAnsi="Times New Roman" w:cs="Times New Roman"/>
      </w:rPr>
    </w:lvl>
    <w:lvl w:ilvl="5" w:tentative="0">
      <w:start w:val="1"/>
      <w:numFmt w:val="decimal"/>
      <w:lvlText w:val="%1.%2.%3.%4.%5.%6."/>
      <w:lvlJc w:val="left"/>
      <w:pPr>
        <w:ind w:left="907" w:hanging="907"/>
      </w:pPr>
      <w:rPr>
        <w:rFonts w:hint="eastAsia"/>
      </w:rPr>
    </w:lvl>
    <w:lvl w:ilvl="6" w:tentative="0">
      <w:start w:val="1"/>
      <w:numFmt w:val="decimal"/>
      <w:lvlText w:val="%1.%2.%3.%4.%5.%6.%7."/>
      <w:lvlJc w:val="left"/>
      <w:pPr>
        <w:ind w:left="907" w:hanging="907"/>
      </w:pPr>
      <w:rPr>
        <w:rFonts w:hint="eastAsia"/>
      </w:rPr>
    </w:lvl>
    <w:lvl w:ilvl="7" w:tentative="0">
      <w:start w:val="1"/>
      <w:numFmt w:val="decimal"/>
      <w:lvlText w:val="%1.%2.%3.%4.%5.%6.%7.%8."/>
      <w:lvlJc w:val="left"/>
      <w:pPr>
        <w:ind w:left="907" w:hanging="907"/>
      </w:pPr>
      <w:rPr>
        <w:rFonts w:hint="eastAsia"/>
      </w:rPr>
    </w:lvl>
    <w:lvl w:ilvl="8" w:tentative="0">
      <w:start w:val="1"/>
      <w:numFmt w:val="decimal"/>
      <w:lvlText w:val="%1.%2.%3.%4.%5.%6.%7.%8.%9."/>
      <w:lvlJc w:val="left"/>
      <w:pPr>
        <w:ind w:left="907" w:hanging="907"/>
      </w:pPr>
      <w:rPr>
        <w:rFonts w:hint="eastAsia"/>
      </w:rPr>
    </w:lvl>
  </w:abstractNum>
  <w:abstractNum w:abstractNumId="7">
    <w:nsid w:val="6CC33ED5"/>
    <w:multiLevelType w:val="multilevel"/>
    <w:tmpl w:val="6CC33ED5"/>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3974B29"/>
    <w:multiLevelType w:val="multilevel"/>
    <w:tmpl w:val="73974B29"/>
    <w:lvl w:ilvl="0" w:tentative="0">
      <w:start w:val="1"/>
      <w:numFmt w:val="decimal"/>
      <w:lvlText w:val="%1."/>
      <w:lvlJc w:val="left"/>
      <w:pPr>
        <w:tabs>
          <w:tab w:val="left" w:pos="907"/>
        </w:tabs>
        <w:ind w:left="907" w:hanging="907"/>
      </w:pPr>
      <w:rPr>
        <w:rFonts w:hint="default" w:ascii="Times New Roman" w:hAnsi="Times New Roman" w:cs="Times New Roman"/>
      </w:rPr>
    </w:lvl>
    <w:lvl w:ilvl="1" w:tentative="0">
      <w:start w:val="1"/>
      <w:numFmt w:val="decimal"/>
      <w:lvlText w:val="%1.%2."/>
      <w:lvlJc w:val="left"/>
      <w:pPr>
        <w:tabs>
          <w:tab w:val="left" w:pos="907"/>
        </w:tabs>
        <w:ind w:left="907" w:hanging="907"/>
      </w:pPr>
      <w:rPr>
        <w:rFonts w:hint="default" w:ascii="Times New Roman" w:hAnsi="Times New Roman" w:cs="Times New Roman"/>
        <w:b w:val="0"/>
        <w:sz w:val="21"/>
        <w:szCs w:val="21"/>
      </w:rPr>
    </w:lvl>
    <w:lvl w:ilvl="2" w:tentative="0">
      <w:start w:val="1"/>
      <w:numFmt w:val="decimal"/>
      <w:lvlText w:val="%1.%2.%3."/>
      <w:lvlJc w:val="left"/>
      <w:pPr>
        <w:tabs>
          <w:tab w:val="left" w:pos="907"/>
        </w:tabs>
        <w:ind w:left="907" w:hanging="907"/>
      </w:pPr>
      <w:rPr>
        <w:rFonts w:hint="default" w:ascii="Times New Roman" w:hAnsi="Times New Roman" w:cs="Times New Roman"/>
      </w:rPr>
    </w:lvl>
    <w:lvl w:ilvl="3" w:tentative="0">
      <w:start w:val="1"/>
      <w:numFmt w:val="decimal"/>
      <w:lvlText w:val="%1.%2.%3.%4."/>
      <w:lvlJc w:val="left"/>
      <w:pPr>
        <w:ind w:left="907" w:hanging="907"/>
      </w:pPr>
      <w:rPr>
        <w:rFonts w:hint="default" w:ascii="Times New Roman" w:hAnsi="Times New Roman" w:cs="Times New Roman"/>
        <w:b w:val="0"/>
      </w:rPr>
    </w:lvl>
    <w:lvl w:ilvl="4" w:tentative="0">
      <w:start w:val="1"/>
      <w:numFmt w:val="decimal"/>
      <w:lvlText w:val="%1.%2.%3.%4.%5."/>
      <w:lvlJc w:val="left"/>
      <w:pPr>
        <w:ind w:left="907" w:hanging="907"/>
      </w:pPr>
      <w:rPr>
        <w:rFonts w:hint="default" w:ascii="Times New Roman" w:hAnsi="Times New Roman" w:cs="Times New Roman"/>
      </w:rPr>
    </w:lvl>
    <w:lvl w:ilvl="5" w:tentative="0">
      <w:start w:val="1"/>
      <w:numFmt w:val="decimal"/>
      <w:lvlText w:val="%1.%2.%3.%4.%5.%6."/>
      <w:lvlJc w:val="left"/>
      <w:pPr>
        <w:ind w:left="907" w:hanging="907"/>
      </w:pPr>
      <w:rPr>
        <w:rFonts w:hint="eastAsia"/>
      </w:rPr>
    </w:lvl>
    <w:lvl w:ilvl="6" w:tentative="0">
      <w:start w:val="1"/>
      <w:numFmt w:val="decimal"/>
      <w:lvlText w:val="%1.%2.%3.%4.%5.%6.%7."/>
      <w:lvlJc w:val="left"/>
      <w:pPr>
        <w:ind w:left="907" w:hanging="907"/>
      </w:pPr>
      <w:rPr>
        <w:rFonts w:hint="eastAsia"/>
      </w:rPr>
    </w:lvl>
    <w:lvl w:ilvl="7" w:tentative="0">
      <w:start w:val="1"/>
      <w:numFmt w:val="decimal"/>
      <w:lvlText w:val="%1.%2.%3.%4.%5.%6.%7.%8."/>
      <w:lvlJc w:val="left"/>
      <w:pPr>
        <w:ind w:left="907" w:hanging="907"/>
      </w:pPr>
      <w:rPr>
        <w:rFonts w:hint="eastAsia"/>
      </w:rPr>
    </w:lvl>
    <w:lvl w:ilvl="8" w:tentative="0">
      <w:start w:val="1"/>
      <w:numFmt w:val="decimal"/>
      <w:lvlText w:val="%1.%2.%3.%4.%5.%6.%7.%8.%9."/>
      <w:lvlJc w:val="left"/>
      <w:pPr>
        <w:ind w:left="907" w:hanging="907"/>
      </w:pPr>
      <w:rPr>
        <w:rFonts w:hint="eastAsia"/>
      </w:rPr>
    </w:lvl>
  </w:abstractNum>
  <w:abstractNum w:abstractNumId="9">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9"/>
  </w:num>
  <w:num w:numId="6">
    <w:abstractNumId w:val="5"/>
  </w:num>
  <w:num w:numId="7">
    <w:abstractNumId w:val="7"/>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23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KGWebUrl" w:val="http://csfile.szoa.sz.gov.cn//file/download?md5Path=650fe00b4d55bbbbef3906d77babd132@13860&amp;webOffice=1&amp;identityId=75C12B753CE9B778E0530100007F1179&amp;token=e7be9ffc8832428883d82b7579a9589b&amp;identityId=75C12B753CE9B778E0530100007F1179&amp;wjbh=B202009540&amp;hddyid=LCA010001_HD_01&amp;fileSrcName=2020_10_12_11_41_5_16268E554153CD18527AB26B04434A46.docx"/>
  </w:docVars>
  <w:rsids>
    <w:rsidRoot w:val="006C5683"/>
    <w:rsid w:val="00000AD9"/>
    <w:rsid w:val="000043C0"/>
    <w:rsid w:val="000050CA"/>
    <w:rsid w:val="000051C6"/>
    <w:rsid w:val="00005215"/>
    <w:rsid w:val="00005A10"/>
    <w:rsid w:val="00005D3D"/>
    <w:rsid w:val="00006F7B"/>
    <w:rsid w:val="00007951"/>
    <w:rsid w:val="00010063"/>
    <w:rsid w:val="00010102"/>
    <w:rsid w:val="00011EA6"/>
    <w:rsid w:val="00012B21"/>
    <w:rsid w:val="0001300F"/>
    <w:rsid w:val="00013262"/>
    <w:rsid w:val="0001480D"/>
    <w:rsid w:val="00014A5C"/>
    <w:rsid w:val="00015388"/>
    <w:rsid w:val="0001716B"/>
    <w:rsid w:val="00017F81"/>
    <w:rsid w:val="000211EA"/>
    <w:rsid w:val="00022777"/>
    <w:rsid w:val="000228C7"/>
    <w:rsid w:val="000234B2"/>
    <w:rsid w:val="00023528"/>
    <w:rsid w:val="00023C75"/>
    <w:rsid w:val="00025AE4"/>
    <w:rsid w:val="0002684B"/>
    <w:rsid w:val="00027645"/>
    <w:rsid w:val="000300AE"/>
    <w:rsid w:val="000300EE"/>
    <w:rsid w:val="000302B6"/>
    <w:rsid w:val="000305D0"/>
    <w:rsid w:val="00030A82"/>
    <w:rsid w:val="0003106D"/>
    <w:rsid w:val="00031700"/>
    <w:rsid w:val="00031F6E"/>
    <w:rsid w:val="0003277F"/>
    <w:rsid w:val="00032948"/>
    <w:rsid w:val="00032B0A"/>
    <w:rsid w:val="0003315D"/>
    <w:rsid w:val="00033DE7"/>
    <w:rsid w:val="0003541F"/>
    <w:rsid w:val="0003670E"/>
    <w:rsid w:val="00036A2B"/>
    <w:rsid w:val="00040D3C"/>
    <w:rsid w:val="00042C84"/>
    <w:rsid w:val="00043739"/>
    <w:rsid w:val="00043A89"/>
    <w:rsid w:val="00045739"/>
    <w:rsid w:val="00046D30"/>
    <w:rsid w:val="000510B6"/>
    <w:rsid w:val="00051133"/>
    <w:rsid w:val="00051F3F"/>
    <w:rsid w:val="000521D8"/>
    <w:rsid w:val="00052BC1"/>
    <w:rsid w:val="00053A89"/>
    <w:rsid w:val="00054D1F"/>
    <w:rsid w:val="00055099"/>
    <w:rsid w:val="0005582B"/>
    <w:rsid w:val="00056247"/>
    <w:rsid w:val="00056292"/>
    <w:rsid w:val="00056C11"/>
    <w:rsid w:val="00057302"/>
    <w:rsid w:val="00057332"/>
    <w:rsid w:val="00057D00"/>
    <w:rsid w:val="0006267A"/>
    <w:rsid w:val="0006335B"/>
    <w:rsid w:val="00063C25"/>
    <w:rsid w:val="00064892"/>
    <w:rsid w:val="00066026"/>
    <w:rsid w:val="0006660A"/>
    <w:rsid w:val="0006670C"/>
    <w:rsid w:val="00067960"/>
    <w:rsid w:val="0007003A"/>
    <w:rsid w:val="00070210"/>
    <w:rsid w:val="000707BF"/>
    <w:rsid w:val="0007277D"/>
    <w:rsid w:val="00072FCF"/>
    <w:rsid w:val="000734CD"/>
    <w:rsid w:val="00074403"/>
    <w:rsid w:val="000750DC"/>
    <w:rsid w:val="00075424"/>
    <w:rsid w:val="0007583C"/>
    <w:rsid w:val="00076057"/>
    <w:rsid w:val="000770EC"/>
    <w:rsid w:val="00081970"/>
    <w:rsid w:val="00082667"/>
    <w:rsid w:val="00082AD2"/>
    <w:rsid w:val="00083DC6"/>
    <w:rsid w:val="00084857"/>
    <w:rsid w:val="00084F26"/>
    <w:rsid w:val="000850AF"/>
    <w:rsid w:val="000852EB"/>
    <w:rsid w:val="000869D8"/>
    <w:rsid w:val="00086CA6"/>
    <w:rsid w:val="00090213"/>
    <w:rsid w:val="00092FC7"/>
    <w:rsid w:val="00093133"/>
    <w:rsid w:val="0009395E"/>
    <w:rsid w:val="00093A4E"/>
    <w:rsid w:val="000954D5"/>
    <w:rsid w:val="00095723"/>
    <w:rsid w:val="0009618D"/>
    <w:rsid w:val="0009709B"/>
    <w:rsid w:val="000975E3"/>
    <w:rsid w:val="000A1DD1"/>
    <w:rsid w:val="000A21A5"/>
    <w:rsid w:val="000A3908"/>
    <w:rsid w:val="000A4C29"/>
    <w:rsid w:val="000A5EA4"/>
    <w:rsid w:val="000A6E2B"/>
    <w:rsid w:val="000A79D3"/>
    <w:rsid w:val="000B05E2"/>
    <w:rsid w:val="000B0B3C"/>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581"/>
    <w:rsid w:val="000C4B12"/>
    <w:rsid w:val="000C5FA7"/>
    <w:rsid w:val="000C7E71"/>
    <w:rsid w:val="000D0144"/>
    <w:rsid w:val="000D16AA"/>
    <w:rsid w:val="000D1A7D"/>
    <w:rsid w:val="000D2309"/>
    <w:rsid w:val="000D2CCA"/>
    <w:rsid w:val="000D366B"/>
    <w:rsid w:val="000D38F9"/>
    <w:rsid w:val="000D5D6B"/>
    <w:rsid w:val="000D7A20"/>
    <w:rsid w:val="000E161C"/>
    <w:rsid w:val="000E2B61"/>
    <w:rsid w:val="000E3685"/>
    <w:rsid w:val="000E470B"/>
    <w:rsid w:val="000E4DE8"/>
    <w:rsid w:val="000E50F5"/>
    <w:rsid w:val="000E5E99"/>
    <w:rsid w:val="000E72EA"/>
    <w:rsid w:val="000F0C3B"/>
    <w:rsid w:val="000F0E9F"/>
    <w:rsid w:val="000F1540"/>
    <w:rsid w:val="000F1CE8"/>
    <w:rsid w:val="000F2065"/>
    <w:rsid w:val="000F2A88"/>
    <w:rsid w:val="000F2C23"/>
    <w:rsid w:val="000F2D1B"/>
    <w:rsid w:val="000F3658"/>
    <w:rsid w:val="000F3B37"/>
    <w:rsid w:val="000F3F12"/>
    <w:rsid w:val="000F4814"/>
    <w:rsid w:val="000F565B"/>
    <w:rsid w:val="000F5C6C"/>
    <w:rsid w:val="000F5F3F"/>
    <w:rsid w:val="000F7FD3"/>
    <w:rsid w:val="00100570"/>
    <w:rsid w:val="00101CE5"/>
    <w:rsid w:val="00101DD0"/>
    <w:rsid w:val="00102555"/>
    <w:rsid w:val="00102B4B"/>
    <w:rsid w:val="00103AB9"/>
    <w:rsid w:val="00103E80"/>
    <w:rsid w:val="00104525"/>
    <w:rsid w:val="00107187"/>
    <w:rsid w:val="00107272"/>
    <w:rsid w:val="00107D54"/>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2FD3"/>
    <w:rsid w:val="00133A61"/>
    <w:rsid w:val="001341DC"/>
    <w:rsid w:val="0013673A"/>
    <w:rsid w:val="00140F34"/>
    <w:rsid w:val="001410EB"/>
    <w:rsid w:val="00141B41"/>
    <w:rsid w:val="00143083"/>
    <w:rsid w:val="00143554"/>
    <w:rsid w:val="00143653"/>
    <w:rsid w:val="00143934"/>
    <w:rsid w:val="00143B3A"/>
    <w:rsid w:val="00143E43"/>
    <w:rsid w:val="00143FFC"/>
    <w:rsid w:val="00146ABB"/>
    <w:rsid w:val="00147338"/>
    <w:rsid w:val="00147A48"/>
    <w:rsid w:val="00150143"/>
    <w:rsid w:val="001509AB"/>
    <w:rsid w:val="001524B2"/>
    <w:rsid w:val="00152E91"/>
    <w:rsid w:val="0015460B"/>
    <w:rsid w:val="00156CA9"/>
    <w:rsid w:val="00157465"/>
    <w:rsid w:val="00157E23"/>
    <w:rsid w:val="00157FC3"/>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777"/>
    <w:rsid w:val="001719FB"/>
    <w:rsid w:val="001723BB"/>
    <w:rsid w:val="00172B65"/>
    <w:rsid w:val="00172EF5"/>
    <w:rsid w:val="001732E1"/>
    <w:rsid w:val="00174860"/>
    <w:rsid w:val="00175045"/>
    <w:rsid w:val="00175189"/>
    <w:rsid w:val="0017613E"/>
    <w:rsid w:val="00177167"/>
    <w:rsid w:val="00177F97"/>
    <w:rsid w:val="00181A71"/>
    <w:rsid w:val="0018261B"/>
    <w:rsid w:val="001834A7"/>
    <w:rsid w:val="0018373B"/>
    <w:rsid w:val="00183C79"/>
    <w:rsid w:val="00183C8B"/>
    <w:rsid w:val="00183E75"/>
    <w:rsid w:val="001845CF"/>
    <w:rsid w:val="001865BB"/>
    <w:rsid w:val="00187518"/>
    <w:rsid w:val="00187743"/>
    <w:rsid w:val="00187AFC"/>
    <w:rsid w:val="0019096C"/>
    <w:rsid w:val="00191D29"/>
    <w:rsid w:val="00191EA7"/>
    <w:rsid w:val="00192164"/>
    <w:rsid w:val="00194C98"/>
    <w:rsid w:val="00194FB7"/>
    <w:rsid w:val="00195845"/>
    <w:rsid w:val="00196B4E"/>
    <w:rsid w:val="001975A1"/>
    <w:rsid w:val="001A027A"/>
    <w:rsid w:val="001A08E4"/>
    <w:rsid w:val="001A0D2C"/>
    <w:rsid w:val="001A12B5"/>
    <w:rsid w:val="001A1C72"/>
    <w:rsid w:val="001A2531"/>
    <w:rsid w:val="001A2D93"/>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6FAD"/>
    <w:rsid w:val="001C04B2"/>
    <w:rsid w:val="001C1FDE"/>
    <w:rsid w:val="001C2063"/>
    <w:rsid w:val="001C21E1"/>
    <w:rsid w:val="001C3426"/>
    <w:rsid w:val="001C4768"/>
    <w:rsid w:val="001C5839"/>
    <w:rsid w:val="001C6AF6"/>
    <w:rsid w:val="001C7129"/>
    <w:rsid w:val="001C77E1"/>
    <w:rsid w:val="001C7ADA"/>
    <w:rsid w:val="001D0FA2"/>
    <w:rsid w:val="001D121D"/>
    <w:rsid w:val="001D3543"/>
    <w:rsid w:val="001D3B85"/>
    <w:rsid w:val="001D4151"/>
    <w:rsid w:val="001D58E5"/>
    <w:rsid w:val="001D5FFF"/>
    <w:rsid w:val="001E0FAB"/>
    <w:rsid w:val="001E2502"/>
    <w:rsid w:val="001E292F"/>
    <w:rsid w:val="001E2984"/>
    <w:rsid w:val="001E2E26"/>
    <w:rsid w:val="001E351C"/>
    <w:rsid w:val="001E474D"/>
    <w:rsid w:val="001E5194"/>
    <w:rsid w:val="001E5A81"/>
    <w:rsid w:val="001E62FB"/>
    <w:rsid w:val="001E6A0B"/>
    <w:rsid w:val="001E77DA"/>
    <w:rsid w:val="001E7A2F"/>
    <w:rsid w:val="001E7AB0"/>
    <w:rsid w:val="001E7DD0"/>
    <w:rsid w:val="001F0349"/>
    <w:rsid w:val="001F077B"/>
    <w:rsid w:val="001F0B74"/>
    <w:rsid w:val="001F2648"/>
    <w:rsid w:val="001F3B6C"/>
    <w:rsid w:val="001F41B9"/>
    <w:rsid w:val="001F4BE8"/>
    <w:rsid w:val="001F4EB8"/>
    <w:rsid w:val="001F560A"/>
    <w:rsid w:val="001F6318"/>
    <w:rsid w:val="001F65B1"/>
    <w:rsid w:val="001F6B83"/>
    <w:rsid w:val="001F6F6A"/>
    <w:rsid w:val="001F7595"/>
    <w:rsid w:val="002000B8"/>
    <w:rsid w:val="00200B4C"/>
    <w:rsid w:val="00203267"/>
    <w:rsid w:val="00203897"/>
    <w:rsid w:val="0020391D"/>
    <w:rsid w:val="00205F9C"/>
    <w:rsid w:val="002060F7"/>
    <w:rsid w:val="00207BC6"/>
    <w:rsid w:val="00210771"/>
    <w:rsid w:val="00210DAE"/>
    <w:rsid w:val="00211885"/>
    <w:rsid w:val="00211EDB"/>
    <w:rsid w:val="00212ADF"/>
    <w:rsid w:val="00212B9E"/>
    <w:rsid w:val="002134CF"/>
    <w:rsid w:val="00213A60"/>
    <w:rsid w:val="0021429B"/>
    <w:rsid w:val="00215699"/>
    <w:rsid w:val="002159DE"/>
    <w:rsid w:val="00215E99"/>
    <w:rsid w:val="0021667D"/>
    <w:rsid w:val="002166A1"/>
    <w:rsid w:val="002166A6"/>
    <w:rsid w:val="00216BB6"/>
    <w:rsid w:val="002171FA"/>
    <w:rsid w:val="0022048B"/>
    <w:rsid w:val="0022175C"/>
    <w:rsid w:val="00222261"/>
    <w:rsid w:val="00222ABA"/>
    <w:rsid w:val="00223045"/>
    <w:rsid w:val="00223AB6"/>
    <w:rsid w:val="00223AC8"/>
    <w:rsid w:val="00223C96"/>
    <w:rsid w:val="00224327"/>
    <w:rsid w:val="00224852"/>
    <w:rsid w:val="0022634D"/>
    <w:rsid w:val="00227512"/>
    <w:rsid w:val="0022766E"/>
    <w:rsid w:val="002278D5"/>
    <w:rsid w:val="00227C13"/>
    <w:rsid w:val="00227D49"/>
    <w:rsid w:val="00227E53"/>
    <w:rsid w:val="00227FC7"/>
    <w:rsid w:val="00233A54"/>
    <w:rsid w:val="00234440"/>
    <w:rsid w:val="002347C9"/>
    <w:rsid w:val="00236E72"/>
    <w:rsid w:val="002411BD"/>
    <w:rsid w:val="00244711"/>
    <w:rsid w:val="00244AE4"/>
    <w:rsid w:val="00245EBE"/>
    <w:rsid w:val="002466C5"/>
    <w:rsid w:val="002472C1"/>
    <w:rsid w:val="002473F4"/>
    <w:rsid w:val="00250F42"/>
    <w:rsid w:val="00252934"/>
    <w:rsid w:val="00252EBA"/>
    <w:rsid w:val="0025361A"/>
    <w:rsid w:val="0025378A"/>
    <w:rsid w:val="002545EF"/>
    <w:rsid w:val="00254802"/>
    <w:rsid w:val="00254B44"/>
    <w:rsid w:val="00254E99"/>
    <w:rsid w:val="00255B9B"/>
    <w:rsid w:val="00256596"/>
    <w:rsid w:val="00257693"/>
    <w:rsid w:val="0026027A"/>
    <w:rsid w:val="00260533"/>
    <w:rsid w:val="002605CE"/>
    <w:rsid w:val="00261367"/>
    <w:rsid w:val="00261A54"/>
    <w:rsid w:val="00261C21"/>
    <w:rsid w:val="00261D37"/>
    <w:rsid w:val="00262781"/>
    <w:rsid w:val="00262D6B"/>
    <w:rsid w:val="00262ED0"/>
    <w:rsid w:val="00263607"/>
    <w:rsid w:val="002638EE"/>
    <w:rsid w:val="00264965"/>
    <w:rsid w:val="002656E1"/>
    <w:rsid w:val="00265CFF"/>
    <w:rsid w:val="00270B4E"/>
    <w:rsid w:val="00271500"/>
    <w:rsid w:val="00272E57"/>
    <w:rsid w:val="00274663"/>
    <w:rsid w:val="00275641"/>
    <w:rsid w:val="0027569A"/>
    <w:rsid w:val="002767D9"/>
    <w:rsid w:val="00280F4B"/>
    <w:rsid w:val="002821E9"/>
    <w:rsid w:val="002827D2"/>
    <w:rsid w:val="002835B7"/>
    <w:rsid w:val="00284C1F"/>
    <w:rsid w:val="002851AF"/>
    <w:rsid w:val="00286129"/>
    <w:rsid w:val="0028787B"/>
    <w:rsid w:val="00290263"/>
    <w:rsid w:val="002908A7"/>
    <w:rsid w:val="00291768"/>
    <w:rsid w:val="00291796"/>
    <w:rsid w:val="00292F66"/>
    <w:rsid w:val="0029315D"/>
    <w:rsid w:val="00293A33"/>
    <w:rsid w:val="0029449E"/>
    <w:rsid w:val="0029488D"/>
    <w:rsid w:val="0029530C"/>
    <w:rsid w:val="00296020"/>
    <w:rsid w:val="0029693F"/>
    <w:rsid w:val="002969C6"/>
    <w:rsid w:val="00296F46"/>
    <w:rsid w:val="00296F8A"/>
    <w:rsid w:val="00297AD1"/>
    <w:rsid w:val="00297CCD"/>
    <w:rsid w:val="002A11CE"/>
    <w:rsid w:val="002A13E2"/>
    <w:rsid w:val="002A1741"/>
    <w:rsid w:val="002A180F"/>
    <w:rsid w:val="002A199B"/>
    <w:rsid w:val="002A1B36"/>
    <w:rsid w:val="002A37E6"/>
    <w:rsid w:val="002A4BFA"/>
    <w:rsid w:val="002A4DFC"/>
    <w:rsid w:val="002B18D6"/>
    <w:rsid w:val="002B1B98"/>
    <w:rsid w:val="002B22D4"/>
    <w:rsid w:val="002B3984"/>
    <w:rsid w:val="002B4BF3"/>
    <w:rsid w:val="002B55C8"/>
    <w:rsid w:val="002B5E4B"/>
    <w:rsid w:val="002B65BC"/>
    <w:rsid w:val="002B660D"/>
    <w:rsid w:val="002B7969"/>
    <w:rsid w:val="002C0031"/>
    <w:rsid w:val="002C0485"/>
    <w:rsid w:val="002C0762"/>
    <w:rsid w:val="002C257A"/>
    <w:rsid w:val="002C2BEC"/>
    <w:rsid w:val="002C30C0"/>
    <w:rsid w:val="002C4F4B"/>
    <w:rsid w:val="002C6EC0"/>
    <w:rsid w:val="002D0356"/>
    <w:rsid w:val="002D07C0"/>
    <w:rsid w:val="002D0F98"/>
    <w:rsid w:val="002D1DFB"/>
    <w:rsid w:val="002D45BF"/>
    <w:rsid w:val="002D4A85"/>
    <w:rsid w:val="002D6162"/>
    <w:rsid w:val="002D64DF"/>
    <w:rsid w:val="002D65A3"/>
    <w:rsid w:val="002E242E"/>
    <w:rsid w:val="002E2FEC"/>
    <w:rsid w:val="002E38DB"/>
    <w:rsid w:val="002E4AB1"/>
    <w:rsid w:val="002E4F8A"/>
    <w:rsid w:val="002E505D"/>
    <w:rsid w:val="002E64ED"/>
    <w:rsid w:val="002E73B8"/>
    <w:rsid w:val="002F0823"/>
    <w:rsid w:val="002F113B"/>
    <w:rsid w:val="002F2471"/>
    <w:rsid w:val="002F2B7A"/>
    <w:rsid w:val="002F3105"/>
    <w:rsid w:val="002F5E6C"/>
    <w:rsid w:val="002F72FF"/>
    <w:rsid w:val="002F79D4"/>
    <w:rsid w:val="00300BF3"/>
    <w:rsid w:val="0030143F"/>
    <w:rsid w:val="00301BCD"/>
    <w:rsid w:val="00303ACF"/>
    <w:rsid w:val="0030463E"/>
    <w:rsid w:val="003047AB"/>
    <w:rsid w:val="00304ED6"/>
    <w:rsid w:val="00305869"/>
    <w:rsid w:val="00306D5D"/>
    <w:rsid w:val="00306FF4"/>
    <w:rsid w:val="00307E1F"/>
    <w:rsid w:val="00310EE1"/>
    <w:rsid w:val="003122B0"/>
    <w:rsid w:val="00312390"/>
    <w:rsid w:val="003130EE"/>
    <w:rsid w:val="003138EB"/>
    <w:rsid w:val="00315880"/>
    <w:rsid w:val="00315A06"/>
    <w:rsid w:val="0031678B"/>
    <w:rsid w:val="0031683C"/>
    <w:rsid w:val="00317146"/>
    <w:rsid w:val="003176EA"/>
    <w:rsid w:val="00317D36"/>
    <w:rsid w:val="00321473"/>
    <w:rsid w:val="003225FB"/>
    <w:rsid w:val="00323376"/>
    <w:rsid w:val="003235EB"/>
    <w:rsid w:val="00323A7C"/>
    <w:rsid w:val="00323BE9"/>
    <w:rsid w:val="00323C32"/>
    <w:rsid w:val="00323CC7"/>
    <w:rsid w:val="003242A8"/>
    <w:rsid w:val="00324A1D"/>
    <w:rsid w:val="00324C55"/>
    <w:rsid w:val="003250B4"/>
    <w:rsid w:val="00325742"/>
    <w:rsid w:val="00327AB3"/>
    <w:rsid w:val="00327F9E"/>
    <w:rsid w:val="00330527"/>
    <w:rsid w:val="003308C9"/>
    <w:rsid w:val="003318A6"/>
    <w:rsid w:val="003321A8"/>
    <w:rsid w:val="00332EB1"/>
    <w:rsid w:val="003330B0"/>
    <w:rsid w:val="00333E63"/>
    <w:rsid w:val="00334044"/>
    <w:rsid w:val="00335188"/>
    <w:rsid w:val="00335234"/>
    <w:rsid w:val="003373B8"/>
    <w:rsid w:val="003413F4"/>
    <w:rsid w:val="00342DC1"/>
    <w:rsid w:val="00342EF7"/>
    <w:rsid w:val="003432B6"/>
    <w:rsid w:val="00343F41"/>
    <w:rsid w:val="00344BF3"/>
    <w:rsid w:val="00345CC1"/>
    <w:rsid w:val="00345EA7"/>
    <w:rsid w:val="0034652C"/>
    <w:rsid w:val="00346606"/>
    <w:rsid w:val="00346B62"/>
    <w:rsid w:val="00346E73"/>
    <w:rsid w:val="00347C6B"/>
    <w:rsid w:val="00350219"/>
    <w:rsid w:val="0035067B"/>
    <w:rsid w:val="00350B6E"/>
    <w:rsid w:val="00351A4A"/>
    <w:rsid w:val="00351D95"/>
    <w:rsid w:val="00351E32"/>
    <w:rsid w:val="00351FB4"/>
    <w:rsid w:val="00353860"/>
    <w:rsid w:val="00354CD9"/>
    <w:rsid w:val="003556C1"/>
    <w:rsid w:val="00355EEE"/>
    <w:rsid w:val="00360494"/>
    <w:rsid w:val="00360C00"/>
    <w:rsid w:val="00361935"/>
    <w:rsid w:val="003626AE"/>
    <w:rsid w:val="00363073"/>
    <w:rsid w:val="00363877"/>
    <w:rsid w:val="00364966"/>
    <w:rsid w:val="00364AAA"/>
    <w:rsid w:val="0036508D"/>
    <w:rsid w:val="003651C8"/>
    <w:rsid w:val="00366321"/>
    <w:rsid w:val="003665D0"/>
    <w:rsid w:val="003669EC"/>
    <w:rsid w:val="003669F1"/>
    <w:rsid w:val="00366F10"/>
    <w:rsid w:val="003700A3"/>
    <w:rsid w:val="00370B40"/>
    <w:rsid w:val="00371C15"/>
    <w:rsid w:val="00372CDF"/>
    <w:rsid w:val="00373411"/>
    <w:rsid w:val="00373D40"/>
    <w:rsid w:val="003741F6"/>
    <w:rsid w:val="00374A29"/>
    <w:rsid w:val="00374FA4"/>
    <w:rsid w:val="003756C6"/>
    <w:rsid w:val="00376E35"/>
    <w:rsid w:val="00377F6C"/>
    <w:rsid w:val="00380094"/>
    <w:rsid w:val="00380256"/>
    <w:rsid w:val="0038165D"/>
    <w:rsid w:val="00383071"/>
    <w:rsid w:val="00383B75"/>
    <w:rsid w:val="0038474C"/>
    <w:rsid w:val="00385444"/>
    <w:rsid w:val="00385F39"/>
    <w:rsid w:val="00386070"/>
    <w:rsid w:val="003900A5"/>
    <w:rsid w:val="00390941"/>
    <w:rsid w:val="003917AD"/>
    <w:rsid w:val="00391FAB"/>
    <w:rsid w:val="00392539"/>
    <w:rsid w:val="00392677"/>
    <w:rsid w:val="003929E9"/>
    <w:rsid w:val="00393431"/>
    <w:rsid w:val="00393633"/>
    <w:rsid w:val="003945A8"/>
    <w:rsid w:val="003945E2"/>
    <w:rsid w:val="00394981"/>
    <w:rsid w:val="003953A8"/>
    <w:rsid w:val="003958E6"/>
    <w:rsid w:val="00395D76"/>
    <w:rsid w:val="003961E7"/>
    <w:rsid w:val="00396F7B"/>
    <w:rsid w:val="00396FA3"/>
    <w:rsid w:val="0039788E"/>
    <w:rsid w:val="00397F0D"/>
    <w:rsid w:val="003A0DC3"/>
    <w:rsid w:val="003A107E"/>
    <w:rsid w:val="003A1CF5"/>
    <w:rsid w:val="003A2812"/>
    <w:rsid w:val="003A2D0C"/>
    <w:rsid w:val="003A3304"/>
    <w:rsid w:val="003A3551"/>
    <w:rsid w:val="003A38F0"/>
    <w:rsid w:val="003A443D"/>
    <w:rsid w:val="003A4BAB"/>
    <w:rsid w:val="003A6A5A"/>
    <w:rsid w:val="003A72E9"/>
    <w:rsid w:val="003B06B9"/>
    <w:rsid w:val="003B175A"/>
    <w:rsid w:val="003B3231"/>
    <w:rsid w:val="003B357A"/>
    <w:rsid w:val="003B499C"/>
    <w:rsid w:val="003B4CCD"/>
    <w:rsid w:val="003B53D4"/>
    <w:rsid w:val="003B7298"/>
    <w:rsid w:val="003C0FF8"/>
    <w:rsid w:val="003C4FD5"/>
    <w:rsid w:val="003C51D3"/>
    <w:rsid w:val="003C5585"/>
    <w:rsid w:val="003C57DD"/>
    <w:rsid w:val="003C582B"/>
    <w:rsid w:val="003D2333"/>
    <w:rsid w:val="003D3241"/>
    <w:rsid w:val="003D4804"/>
    <w:rsid w:val="003D5413"/>
    <w:rsid w:val="003D7685"/>
    <w:rsid w:val="003D7E9A"/>
    <w:rsid w:val="003E0366"/>
    <w:rsid w:val="003E100C"/>
    <w:rsid w:val="003E2FFE"/>
    <w:rsid w:val="003E37AA"/>
    <w:rsid w:val="003E3871"/>
    <w:rsid w:val="003E4310"/>
    <w:rsid w:val="003E47DE"/>
    <w:rsid w:val="003E4FFA"/>
    <w:rsid w:val="003E6E11"/>
    <w:rsid w:val="003F0536"/>
    <w:rsid w:val="003F10D3"/>
    <w:rsid w:val="003F1548"/>
    <w:rsid w:val="003F2B3D"/>
    <w:rsid w:val="003F3105"/>
    <w:rsid w:val="003F3C44"/>
    <w:rsid w:val="003F4172"/>
    <w:rsid w:val="003F4249"/>
    <w:rsid w:val="003F4E3B"/>
    <w:rsid w:val="003F5086"/>
    <w:rsid w:val="003F5108"/>
    <w:rsid w:val="003F5D2C"/>
    <w:rsid w:val="003F64BC"/>
    <w:rsid w:val="003F7679"/>
    <w:rsid w:val="00400C13"/>
    <w:rsid w:val="00402311"/>
    <w:rsid w:val="0040239F"/>
    <w:rsid w:val="00402C97"/>
    <w:rsid w:val="00403364"/>
    <w:rsid w:val="0040415C"/>
    <w:rsid w:val="0040438A"/>
    <w:rsid w:val="00404AA4"/>
    <w:rsid w:val="00404C61"/>
    <w:rsid w:val="004050C9"/>
    <w:rsid w:val="004051F0"/>
    <w:rsid w:val="00405463"/>
    <w:rsid w:val="00406314"/>
    <w:rsid w:val="00406376"/>
    <w:rsid w:val="00406896"/>
    <w:rsid w:val="00411B37"/>
    <w:rsid w:val="004125ED"/>
    <w:rsid w:val="00413B39"/>
    <w:rsid w:val="0041450E"/>
    <w:rsid w:val="0041456E"/>
    <w:rsid w:val="00415370"/>
    <w:rsid w:val="00415781"/>
    <w:rsid w:val="00416485"/>
    <w:rsid w:val="00416F40"/>
    <w:rsid w:val="00417769"/>
    <w:rsid w:val="00417F0D"/>
    <w:rsid w:val="00421795"/>
    <w:rsid w:val="00421EF2"/>
    <w:rsid w:val="00422668"/>
    <w:rsid w:val="00423E60"/>
    <w:rsid w:val="0042602D"/>
    <w:rsid w:val="00427004"/>
    <w:rsid w:val="00427970"/>
    <w:rsid w:val="00431AC1"/>
    <w:rsid w:val="00431DE1"/>
    <w:rsid w:val="004329C9"/>
    <w:rsid w:val="00432CD5"/>
    <w:rsid w:val="00433CDB"/>
    <w:rsid w:val="00435D29"/>
    <w:rsid w:val="004363FA"/>
    <w:rsid w:val="004364CC"/>
    <w:rsid w:val="00436829"/>
    <w:rsid w:val="00437141"/>
    <w:rsid w:val="004405B0"/>
    <w:rsid w:val="00441905"/>
    <w:rsid w:val="00441FF9"/>
    <w:rsid w:val="0044382F"/>
    <w:rsid w:val="00443B96"/>
    <w:rsid w:val="00443E1D"/>
    <w:rsid w:val="004442EB"/>
    <w:rsid w:val="004443CF"/>
    <w:rsid w:val="00444FA3"/>
    <w:rsid w:val="00446553"/>
    <w:rsid w:val="00446A92"/>
    <w:rsid w:val="00447664"/>
    <w:rsid w:val="004501B4"/>
    <w:rsid w:val="004505CE"/>
    <w:rsid w:val="0045082F"/>
    <w:rsid w:val="00450C00"/>
    <w:rsid w:val="0045135E"/>
    <w:rsid w:val="004522E5"/>
    <w:rsid w:val="00452434"/>
    <w:rsid w:val="00452C53"/>
    <w:rsid w:val="004539C7"/>
    <w:rsid w:val="00454597"/>
    <w:rsid w:val="004548E6"/>
    <w:rsid w:val="0045543A"/>
    <w:rsid w:val="00455880"/>
    <w:rsid w:val="004561F9"/>
    <w:rsid w:val="0045637C"/>
    <w:rsid w:val="004569A3"/>
    <w:rsid w:val="004578ED"/>
    <w:rsid w:val="004611B6"/>
    <w:rsid w:val="00461997"/>
    <w:rsid w:val="00463F8B"/>
    <w:rsid w:val="004649AD"/>
    <w:rsid w:val="00464F04"/>
    <w:rsid w:val="004650E7"/>
    <w:rsid w:val="0046687B"/>
    <w:rsid w:val="004674FB"/>
    <w:rsid w:val="00470418"/>
    <w:rsid w:val="004704EA"/>
    <w:rsid w:val="0047071D"/>
    <w:rsid w:val="004727C4"/>
    <w:rsid w:val="00473579"/>
    <w:rsid w:val="00474C93"/>
    <w:rsid w:val="00474E5A"/>
    <w:rsid w:val="0047558F"/>
    <w:rsid w:val="00475FD5"/>
    <w:rsid w:val="0047770B"/>
    <w:rsid w:val="004812F4"/>
    <w:rsid w:val="0048231B"/>
    <w:rsid w:val="00482BD9"/>
    <w:rsid w:val="004838D4"/>
    <w:rsid w:val="004845AC"/>
    <w:rsid w:val="00484C31"/>
    <w:rsid w:val="00485E3C"/>
    <w:rsid w:val="00485F61"/>
    <w:rsid w:val="00486025"/>
    <w:rsid w:val="00486F09"/>
    <w:rsid w:val="004877FB"/>
    <w:rsid w:val="004906DB"/>
    <w:rsid w:val="00490C0F"/>
    <w:rsid w:val="00491FF2"/>
    <w:rsid w:val="004925EE"/>
    <w:rsid w:val="00492735"/>
    <w:rsid w:val="004945E8"/>
    <w:rsid w:val="00494FC9"/>
    <w:rsid w:val="00495228"/>
    <w:rsid w:val="00495FC3"/>
    <w:rsid w:val="004963B6"/>
    <w:rsid w:val="004A0C8A"/>
    <w:rsid w:val="004A2013"/>
    <w:rsid w:val="004A201B"/>
    <w:rsid w:val="004A2B7A"/>
    <w:rsid w:val="004A3EB3"/>
    <w:rsid w:val="004A4377"/>
    <w:rsid w:val="004A57EB"/>
    <w:rsid w:val="004A5824"/>
    <w:rsid w:val="004A59D3"/>
    <w:rsid w:val="004A6D7C"/>
    <w:rsid w:val="004A6F11"/>
    <w:rsid w:val="004A74DD"/>
    <w:rsid w:val="004B00D1"/>
    <w:rsid w:val="004B0B57"/>
    <w:rsid w:val="004B1CAB"/>
    <w:rsid w:val="004B2FF9"/>
    <w:rsid w:val="004B3506"/>
    <w:rsid w:val="004B36ED"/>
    <w:rsid w:val="004B40DB"/>
    <w:rsid w:val="004B4EF6"/>
    <w:rsid w:val="004B612E"/>
    <w:rsid w:val="004B623B"/>
    <w:rsid w:val="004B6554"/>
    <w:rsid w:val="004B6B22"/>
    <w:rsid w:val="004B6C50"/>
    <w:rsid w:val="004C0DA0"/>
    <w:rsid w:val="004C2709"/>
    <w:rsid w:val="004C28AA"/>
    <w:rsid w:val="004C3459"/>
    <w:rsid w:val="004C3E02"/>
    <w:rsid w:val="004C422D"/>
    <w:rsid w:val="004C4CEB"/>
    <w:rsid w:val="004C4E07"/>
    <w:rsid w:val="004C5CBA"/>
    <w:rsid w:val="004C6C09"/>
    <w:rsid w:val="004C6EA3"/>
    <w:rsid w:val="004D000F"/>
    <w:rsid w:val="004D055D"/>
    <w:rsid w:val="004D1240"/>
    <w:rsid w:val="004D133B"/>
    <w:rsid w:val="004D49EE"/>
    <w:rsid w:val="004D4AE0"/>
    <w:rsid w:val="004D4C0B"/>
    <w:rsid w:val="004D69FC"/>
    <w:rsid w:val="004D6A6F"/>
    <w:rsid w:val="004D77BD"/>
    <w:rsid w:val="004D77DE"/>
    <w:rsid w:val="004D7BF4"/>
    <w:rsid w:val="004D7C92"/>
    <w:rsid w:val="004E295C"/>
    <w:rsid w:val="004E2D66"/>
    <w:rsid w:val="004E2EBD"/>
    <w:rsid w:val="004E38B2"/>
    <w:rsid w:val="004E3936"/>
    <w:rsid w:val="004E490B"/>
    <w:rsid w:val="004E523A"/>
    <w:rsid w:val="004E57F7"/>
    <w:rsid w:val="004E5D9C"/>
    <w:rsid w:val="004E6707"/>
    <w:rsid w:val="004E6B8E"/>
    <w:rsid w:val="004F0543"/>
    <w:rsid w:val="004F2385"/>
    <w:rsid w:val="004F3A97"/>
    <w:rsid w:val="004F5591"/>
    <w:rsid w:val="004F5B41"/>
    <w:rsid w:val="004F5D14"/>
    <w:rsid w:val="004F605C"/>
    <w:rsid w:val="004F68DC"/>
    <w:rsid w:val="00500F7A"/>
    <w:rsid w:val="005012AD"/>
    <w:rsid w:val="005016E5"/>
    <w:rsid w:val="00501A56"/>
    <w:rsid w:val="005020D3"/>
    <w:rsid w:val="00502317"/>
    <w:rsid w:val="005027BB"/>
    <w:rsid w:val="00503415"/>
    <w:rsid w:val="005037E1"/>
    <w:rsid w:val="00503B5C"/>
    <w:rsid w:val="0050456A"/>
    <w:rsid w:val="00504BE8"/>
    <w:rsid w:val="005068E1"/>
    <w:rsid w:val="005077C5"/>
    <w:rsid w:val="0051168A"/>
    <w:rsid w:val="005117D2"/>
    <w:rsid w:val="005118A6"/>
    <w:rsid w:val="005122F4"/>
    <w:rsid w:val="0051405F"/>
    <w:rsid w:val="0051444F"/>
    <w:rsid w:val="005156A6"/>
    <w:rsid w:val="00516393"/>
    <w:rsid w:val="005179A5"/>
    <w:rsid w:val="00520B4F"/>
    <w:rsid w:val="00522152"/>
    <w:rsid w:val="00524AD7"/>
    <w:rsid w:val="005254FD"/>
    <w:rsid w:val="005268A9"/>
    <w:rsid w:val="0052720F"/>
    <w:rsid w:val="00527421"/>
    <w:rsid w:val="005275C4"/>
    <w:rsid w:val="00527D36"/>
    <w:rsid w:val="00530D42"/>
    <w:rsid w:val="00531076"/>
    <w:rsid w:val="00531D28"/>
    <w:rsid w:val="005328A8"/>
    <w:rsid w:val="00533920"/>
    <w:rsid w:val="00535141"/>
    <w:rsid w:val="00535324"/>
    <w:rsid w:val="0053608D"/>
    <w:rsid w:val="005363B4"/>
    <w:rsid w:val="0053712D"/>
    <w:rsid w:val="0053726E"/>
    <w:rsid w:val="00537DA5"/>
    <w:rsid w:val="005403F4"/>
    <w:rsid w:val="00541136"/>
    <w:rsid w:val="0054216F"/>
    <w:rsid w:val="00542F18"/>
    <w:rsid w:val="00544853"/>
    <w:rsid w:val="00544CA5"/>
    <w:rsid w:val="005450E2"/>
    <w:rsid w:val="00545197"/>
    <w:rsid w:val="00545374"/>
    <w:rsid w:val="00545B19"/>
    <w:rsid w:val="0055035F"/>
    <w:rsid w:val="005507FD"/>
    <w:rsid w:val="005511C0"/>
    <w:rsid w:val="0055232C"/>
    <w:rsid w:val="0055278E"/>
    <w:rsid w:val="00554032"/>
    <w:rsid w:val="00554B10"/>
    <w:rsid w:val="00555488"/>
    <w:rsid w:val="0055549A"/>
    <w:rsid w:val="00555B18"/>
    <w:rsid w:val="00555C9C"/>
    <w:rsid w:val="0055641F"/>
    <w:rsid w:val="00556A4D"/>
    <w:rsid w:val="00557319"/>
    <w:rsid w:val="0055764E"/>
    <w:rsid w:val="00557724"/>
    <w:rsid w:val="0056007C"/>
    <w:rsid w:val="00560528"/>
    <w:rsid w:val="00561923"/>
    <w:rsid w:val="005622F8"/>
    <w:rsid w:val="0056310A"/>
    <w:rsid w:val="0056336F"/>
    <w:rsid w:val="00564EE8"/>
    <w:rsid w:val="00565AE3"/>
    <w:rsid w:val="00565AF7"/>
    <w:rsid w:val="0057189C"/>
    <w:rsid w:val="00571BD2"/>
    <w:rsid w:val="00571CD7"/>
    <w:rsid w:val="00571D59"/>
    <w:rsid w:val="00572E3E"/>
    <w:rsid w:val="0057420B"/>
    <w:rsid w:val="0057593B"/>
    <w:rsid w:val="00580280"/>
    <w:rsid w:val="005803FF"/>
    <w:rsid w:val="00580B9E"/>
    <w:rsid w:val="0058135A"/>
    <w:rsid w:val="00583358"/>
    <w:rsid w:val="005839BF"/>
    <w:rsid w:val="00584058"/>
    <w:rsid w:val="005844A5"/>
    <w:rsid w:val="005846B4"/>
    <w:rsid w:val="005850E5"/>
    <w:rsid w:val="005851E0"/>
    <w:rsid w:val="00585571"/>
    <w:rsid w:val="005856F9"/>
    <w:rsid w:val="00585B91"/>
    <w:rsid w:val="005863F0"/>
    <w:rsid w:val="00586BF1"/>
    <w:rsid w:val="005875AD"/>
    <w:rsid w:val="00587DC4"/>
    <w:rsid w:val="005903E4"/>
    <w:rsid w:val="005907D5"/>
    <w:rsid w:val="005913EE"/>
    <w:rsid w:val="00592461"/>
    <w:rsid w:val="00593890"/>
    <w:rsid w:val="005950D6"/>
    <w:rsid w:val="0059519C"/>
    <w:rsid w:val="00595524"/>
    <w:rsid w:val="00595E87"/>
    <w:rsid w:val="00597221"/>
    <w:rsid w:val="005974F3"/>
    <w:rsid w:val="0059751C"/>
    <w:rsid w:val="00597919"/>
    <w:rsid w:val="005A0B9F"/>
    <w:rsid w:val="005A0EFC"/>
    <w:rsid w:val="005A1F80"/>
    <w:rsid w:val="005A28BD"/>
    <w:rsid w:val="005A3DC0"/>
    <w:rsid w:val="005A44E7"/>
    <w:rsid w:val="005A5D8E"/>
    <w:rsid w:val="005A63D8"/>
    <w:rsid w:val="005A7C14"/>
    <w:rsid w:val="005A7DBE"/>
    <w:rsid w:val="005B152C"/>
    <w:rsid w:val="005B1C64"/>
    <w:rsid w:val="005B1DE8"/>
    <w:rsid w:val="005B2590"/>
    <w:rsid w:val="005B2807"/>
    <w:rsid w:val="005B3606"/>
    <w:rsid w:val="005B3E08"/>
    <w:rsid w:val="005B3ED7"/>
    <w:rsid w:val="005B49B6"/>
    <w:rsid w:val="005B56EE"/>
    <w:rsid w:val="005B672C"/>
    <w:rsid w:val="005B747D"/>
    <w:rsid w:val="005B7733"/>
    <w:rsid w:val="005B7A22"/>
    <w:rsid w:val="005C0602"/>
    <w:rsid w:val="005C0D5D"/>
    <w:rsid w:val="005C191A"/>
    <w:rsid w:val="005C2AA9"/>
    <w:rsid w:val="005C330D"/>
    <w:rsid w:val="005C40C7"/>
    <w:rsid w:val="005C4114"/>
    <w:rsid w:val="005C4EFF"/>
    <w:rsid w:val="005C4F43"/>
    <w:rsid w:val="005C7D1E"/>
    <w:rsid w:val="005D0B55"/>
    <w:rsid w:val="005D24D0"/>
    <w:rsid w:val="005D3528"/>
    <w:rsid w:val="005D356C"/>
    <w:rsid w:val="005D4A04"/>
    <w:rsid w:val="005D4CF7"/>
    <w:rsid w:val="005D5347"/>
    <w:rsid w:val="005D5CC5"/>
    <w:rsid w:val="005D5FE6"/>
    <w:rsid w:val="005D61EA"/>
    <w:rsid w:val="005D787B"/>
    <w:rsid w:val="005E031D"/>
    <w:rsid w:val="005E03AC"/>
    <w:rsid w:val="005E04B5"/>
    <w:rsid w:val="005E0D5C"/>
    <w:rsid w:val="005E12BE"/>
    <w:rsid w:val="005E2C81"/>
    <w:rsid w:val="005E4D3C"/>
    <w:rsid w:val="005E7158"/>
    <w:rsid w:val="005E7ECB"/>
    <w:rsid w:val="005E7F63"/>
    <w:rsid w:val="005F0C00"/>
    <w:rsid w:val="005F1037"/>
    <w:rsid w:val="005F2BF8"/>
    <w:rsid w:val="005F2EA8"/>
    <w:rsid w:val="005F3E63"/>
    <w:rsid w:val="005F5D1D"/>
    <w:rsid w:val="005F60C9"/>
    <w:rsid w:val="005F64C6"/>
    <w:rsid w:val="005F76B0"/>
    <w:rsid w:val="00600029"/>
    <w:rsid w:val="00600071"/>
    <w:rsid w:val="006008F1"/>
    <w:rsid w:val="00601714"/>
    <w:rsid w:val="00601735"/>
    <w:rsid w:val="00602BD2"/>
    <w:rsid w:val="00604980"/>
    <w:rsid w:val="00605C63"/>
    <w:rsid w:val="0060614D"/>
    <w:rsid w:val="00610871"/>
    <w:rsid w:val="00610E48"/>
    <w:rsid w:val="00612E83"/>
    <w:rsid w:val="00613C47"/>
    <w:rsid w:val="00615086"/>
    <w:rsid w:val="00616201"/>
    <w:rsid w:val="00616225"/>
    <w:rsid w:val="0061705E"/>
    <w:rsid w:val="00617A8B"/>
    <w:rsid w:val="00621904"/>
    <w:rsid w:val="00622248"/>
    <w:rsid w:val="00622FEA"/>
    <w:rsid w:val="00623CDF"/>
    <w:rsid w:val="00623DB1"/>
    <w:rsid w:val="006245F3"/>
    <w:rsid w:val="00624DBE"/>
    <w:rsid w:val="00625450"/>
    <w:rsid w:val="0062624F"/>
    <w:rsid w:val="006319CA"/>
    <w:rsid w:val="00633B3E"/>
    <w:rsid w:val="00634B64"/>
    <w:rsid w:val="00634EC0"/>
    <w:rsid w:val="00635B67"/>
    <w:rsid w:val="0063627F"/>
    <w:rsid w:val="006376C4"/>
    <w:rsid w:val="006403E7"/>
    <w:rsid w:val="00642D72"/>
    <w:rsid w:val="006443CB"/>
    <w:rsid w:val="006448B8"/>
    <w:rsid w:val="00644F80"/>
    <w:rsid w:val="00645874"/>
    <w:rsid w:val="00650F81"/>
    <w:rsid w:val="00650FC7"/>
    <w:rsid w:val="00653C24"/>
    <w:rsid w:val="00653D68"/>
    <w:rsid w:val="00654275"/>
    <w:rsid w:val="0065446D"/>
    <w:rsid w:val="00654894"/>
    <w:rsid w:val="00656067"/>
    <w:rsid w:val="00660693"/>
    <w:rsid w:val="006611D6"/>
    <w:rsid w:val="0066126A"/>
    <w:rsid w:val="00661918"/>
    <w:rsid w:val="00662A5A"/>
    <w:rsid w:val="006636D0"/>
    <w:rsid w:val="00663834"/>
    <w:rsid w:val="006647D7"/>
    <w:rsid w:val="00664F1B"/>
    <w:rsid w:val="006653D7"/>
    <w:rsid w:val="00665BFF"/>
    <w:rsid w:val="006665BA"/>
    <w:rsid w:val="00666A4F"/>
    <w:rsid w:val="00667477"/>
    <w:rsid w:val="00667496"/>
    <w:rsid w:val="006703D9"/>
    <w:rsid w:val="00670ADE"/>
    <w:rsid w:val="00672DFC"/>
    <w:rsid w:val="00672F5B"/>
    <w:rsid w:val="00673D74"/>
    <w:rsid w:val="00673D7B"/>
    <w:rsid w:val="00673DEE"/>
    <w:rsid w:val="00674E69"/>
    <w:rsid w:val="00675A33"/>
    <w:rsid w:val="0067738E"/>
    <w:rsid w:val="00677F23"/>
    <w:rsid w:val="00680936"/>
    <w:rsid w:val="00680BBE"/>
    <w:rsid w:val="00680D8C"/>
    <w:rsid w:val="00680D99"/>
    <w:rsid w:val="006821B2"/>
    <w:rsid w:val="00682569"/>
    <w:rsid w:val="00682725"/>
    <w:rsid w:val="00682A1B"/>
    <w:rsid w:val="00682D73"/>
    <w:rsid w:val="00682ED3"/>
    <w:rsid w:val="006846E8"/>
    <w:rsid w:val="00685030"/>
    <w:rsid w:val="00685EBD"/>
    <w:rsid w:val="006861C3"/>
    <w:rsid w:val="00686AF3"/>
    <w:rsid w:val="00686FC4"/>
    <w:rsid w:val="00690F1F"/>
    <w:rsid w:val="006915BD"/>
    <w:rsid w:val="00692582"/>
    <w:rsid w:val="00692592"/>
    <w:rsid w:val="00692A2F"/>
    <w:rsid w:val="0069322C"/>
    <w:rsid w:val="00693652"/>
    <w:rsid w:val="006939E7"/>
    <w:rsid w:val="00693D3E"/>
    <w:rsid w:val="006942F7"/>
    <w:rsid w:val="00694925"/>
    <w:rsid w:val="006956FB"/>
    <w:rsid w:val="00695B40"/>
    <w:rsid w:val="006A1D3D"/>
    <w:rsid w:val="006A2150"/>
    <w:rsid w:val="006A2216"/>
    <w:rsid w:val="006A241D"/>
    <w:rsid w:val="006A3288"/>
    <w:rsid w:val="006A43E6"/>
    <w:rsid w:val="006A4AEE"/>
    <w:rsid w:val="006A4D19"/>
    <w:rsid w:val="006A70BE"/>
    <w:rsid w:val="006A7934"/>
    <w:rsid w:val="006B0001"/>
    <w:rsid w:val="006B059F"/>
    <w:rsid w:val="006B0A56"/>
    <w:rsid w:val="006B2048"/>
    <w:rsid w:val="006B342E"/>
    <w:rsid w:val="006B3812"/>
    <w:rsid w:val="006B3B80"/>
    <w:rsid w:val="006B6F32"/>
    <w:rsid w:val="006B7130"/>
    <w:rsid w:val="006B73CC"/>
    <w:rsid w:val="006B7695"/>
    <w:rsid w:val="006C0176"/>
    <w:rsid w:val="006C2994"/>
    <w:rsid w:val="006C35EC"/>
    <w:rsid w:val="006C4150"/>
    <w:rsid w:val="006C4382"/>
    <w:rsid w:val="006C5683"/>
    <w:rsid w:val="006C5E33"/>
    <w:rsid w:val="006C5E48"/>
    <w:rsid w:val="006C6434"/>
    <w:rsid w:val="006C6CD8"/>
    <w:rsid w:val="006C70BB"/>
    <w:rsid w:val="006C7EB1"/>
    <w:rsid w:val="006D013F"/>
    <w:rsid w:val="006D017F"/>
    <w:rsid w:val="006D08BD"/>
    <w:rsid w:val="006D0D46"/>
    <w:rsid w:val="006D0F8E"/>
    <w:rsid w:val="006D13C3"/>
    <w:rsid w:val="006D1416"/>
    <w:rsid w:val="006D1D3F"/>
    <w:rsid w:val="006D2152"/>
    <w:rsid w:val="006D253B"/>
    <w:rsid w:val="006D325A"/>
    <w:rsid w:val="006D4242"/>
    <w:rsid w:val="006D45F0"/>
    <w:rsid w:val="006D4C8F"/>
    <w:rsid w:val="006D52A0"/>
    <w:rsid w:val="006D57CB"/>
    <w:rsid w:val="006D5819"/>
    <w:rsid w:val="006D5E6F"/>
    <w:rsid w:val="006D693F"/>
    <w:rsid w:val="006D6CDD"/>
    <w:rsid w:val="006D7604"/>
    <w:rsid w:val="006D765E"/>
    <w:rsid w:val="006E0455"/>
    <w:rsid w:val="006E3289"/>
    <w:rsid w:val="006E4238"/>
    <w:rsid w:val="006E5F01"/>
    <w:rsid w:val="006E7404"/>
    <w:rsid w:val="006E7B97"/>
    <w:rsid w:val="006F1EA3"/>
    <w:rsid w:val="006F2627"/>
    <w:rsid w:val="006F2BF8"/>
    <w:rsid w:val="006F3568"/>
    <w:rsid w:val="006F40AD"/>
    <w:rsid w:val="006F4A5F"/>
    <w:rsid w:val="006F60DB"/>
    <w:rsid w:val="006F6360"/>
    <w:rsid w:val="006F6436"/>
    <w:rsid w:val="006F65C5"/>
    <w:rsid w:val="006F687A"/>
    <w:rsid w:val="006F68EF"/>
    <w:rsid w:val="006F6D4C"/>
    <w:rsid w:val="006F6E67"/>
    <w:rsid w:val="006F7157"/>
    <w:rsid w:val="006F78E0"/>
    <w:rsid w:val="006F7E02"/>
    <w:rsid w:val="00702B1B"/>
    <w:rsid w:val="007032B3"/>
    <w:rsid w:val="00704164"/>
    <w:rsid w:val="00706A58"/>
    <w:rsid w:val="00707517"/>
    <w:rsid w:val="007078ED"/>
    <w:rsid w:val="00710187"/>
    <w:rsid w:val="007110E1"/>
    <w:rsid w:val="00711B18"/>
    <w:rsid w:val="00714394"/>
    <w:rsid w:val="00714ED6"/>
    <w:rsid w:val="007151B7"/>
    <w:rsid w:val="00715E8D"/>
    <w:rsid w:val="00721C26"/>
    <w:rsid w:val="00721F7E"/>
    <w:rsid w:val="00722E29"/>
    <w:rsid w:val="007231C0"/>
    <w:rsid w:val="00723ECB"/>
    <w:rsid w:val="00724606"/>
    <w:rsid w:val="00724A36"/>
    <w:rsid w:val="00724A60"/>
    <w:rsid w:val="00724E85"/>
    <w:rsid w:val="0072525D"/>
    <w:rsid w:val="00726E8A"/>
    <w:rsid w:val="00727047"/>
    <w:rsid w:val="0073289F"/>
    <w:rsid w:val="00734510"/>
    <w:rsid w:val="00734887"/>
    <w:rsid w:val="007365B6"/>
    <w:rsid w:val="007401E2"/>
    <w:rsid w:val="00740205"/>
    <w:rsid w:val="00740AD3"/>
    <w:rsid w:val="007411E5"/>
    <w:rsid w:val="00741605"/>
    <w:rsid w:val="007436F2"/>
    <w:rsid w:val="0074436D"/>
    <w:rsid w:val="00746951"/>
    <w:rsid w:val="00746F65"/>
    <w:rsid w:val="007472C3"/>
    <w:rsid w:val="0074791E"/>
    <w:rsid w:val="00750948"/>
    <w:rsid w:val="00750E51"/>
    <w:rsid w:val="0075115D"/>
    <w:rsid w:val="00751A33"/>
    <w:rsid w:val="00753890"/>
    <w:rsid w:val="007555DF"/>
    <w:rsid w:val="007569DC"/>
    <w:rsid w:val="0075711E"/>
    <w:rsid w:val="007579F2"/>
    <w:rsid w:val="00761360"/>
    <w:rsid w:val="00761434"/>
    <w:rsid w:val="00761FD5"/>
    <w:rsid w:val="00762BB6"/>
    <w:rsid w:val="0076341D"/>
    <w:rsid w:val="0076446D"/>
    <w:rsid w:val="007647EF"/>
    <w:rsid w:val="00765DD8"/>
    <w:rsid w:val="00766B33"/>
    <w:rsid w:val="00766D36"/>
    <w:rsid w:val="00767607"/>
    <w:rsid w:val="00767ACD"/>
    <w:rsid w:val="007705B5"/>
    <w:rsid w:val="0077270D"/>
    <w:rsid w:val="00773758"/>
    <w:rsid w:val="00773874"/>
    <w:rsid w:val="00775958"/>
    <w:rsid w:val="00775D3B"/>
    <w:rsid w:val="0077615A"/>
    <w:rsid w:val="00777483"/>
    <w:rsid w:val="007806A0"/>
    <w:rsid w:val="007822BB"/>
    <w:rsid w:val="00782346"/>
    <w:rsid w:val="007838CD"/>
    <w:rsid w:val="007840F3"/>
    <w:rsid w:val="00785491"/>
    <w:rsid w:val="007858C0"/>
    <w:rsid w:val="0078679A"/>
    <w:rsid w:val="007871FE"/>
    <w:rsid w:val="007908ED"/>
    <w:rsid w:val="00790F74"/>
    <w:rsid w:val="00792288"/>
    <w:rsid w:val="00792447"/>
    <w:rsid w:val="007928C6"/>
    <w:rsid w:val="007951F4"/>
    <w:rsid w:val="0079694C"/>
    <w:rsid w:val="00796EC0"/>
    <w:rsid w:val="007A0187"/>
    <w:rsid w:val="007A19AC"/>
    <w:rsid w:val="007A268F"/>
    <w:rsid w:val="007A4A53"/>
    <w:rsid w:val="007A4C93"/>
    <w:rsid w:val="007A4E17"/>
    <w:rsid w:val="007A6D0C"/>
    <w:rsid w:val="007A7D0A"/>
    <w:rsid w:val="007A7F6D"/>
    <w:rsid w:val="007B0C2F"/>
    <w:rsid w:val="007B0FBD"/>
    <w:rsid w:val="007B1BAF"/>
    <w:rsid w:val="007B2FE8"/>
    <w:rsid w:val="007B35F7"/>
    <w:rsid w:val="007B4DD5"/>
    <w:rsid w:val="007B4F72"/>
    <w:rsid w:val="007B5148"/>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358B"/>
    <w:rsid w:val="007D36E9"/>
    <w:rsid w:val="007D4624"/>
    <w:rsid w:val="007D563E"/>
    <w:rsid w:val="007D5A49"/>
    <w:rsid w:val="007D5FC1"/>
    <w:rsid w:val="007D6EB6"/>
    <w:rsid w:val="007D715A"/>
    <w:rsid w:val="007D789C"/>
    <w:rsid w:val="007D7E92"/>
    <w:rsid w:val="007E0161"/>
    <w:rsid w:val="007E08DB"/>
    <w:rsid w:val="007E0B17"/>
    <w:rsid w:val="007E0D90"/>
    <w:rsid w:val="007E0E9E"/>
    <w:rsid w:val="007E12DC"/>
    <w:rsid w:val="007E1760"/>
    <w:rsid w:val="007E21FB"/>
    <w:rsid w:val="007E2BFB"/>
    <w:rsid w:val="007E3B9D"/>
    <w:rsid w:val="007E420B"/>
    <w:rsid w:val="007E4932"/>
    <w:rsid w:val="007E4CAD"/>
    <w:rsid w:val="007E502C"/>
    <w:rsid w:val="007E516A"/>
    <w:rsid w:val="007E5BD7"/>
    <w:rsid w:val="007E6761"/>
    <w:rsid w:val="007E75F0"/>
    <w:rsid w:val="007E7968"/>
    <w:rsid w:val="007E79C4"/>
    <w:rsid w:val="007F013A"/>
    <w:rsid w:val="007F0730"/>
    <w:rsid w:val="007F0B81"/>
    <w:rsid w:val="007F1D54"/>
    <w:rsid w:val="007F1D56"/>
    <w:rsid w:val="007F2D90"/>
    <w:rsid w:val="007F3D9B"/>
    <w:rsid w:val="007F3F6F"/>
    <w:rsid w:val="007F48A9"/>
    <w:rsid w:val="007F4E28"/>
    <w:rsid w:val="007F4F82"/>
    <w:rsid w:val="007F6BCA"/>
    <w:rsid w:val="007F6D96"/>
    <w:rsid w:val="00801D7A"/>
    <w:rsid w:val="008020F2"/>
    <w:rsid w:val="00802462"/>
    <w:rsid w:val="00803196"/>
    <w:rsid w:val="00803F74"/>
    <w:rsid w:val="00804653"/>
    <w:rsid w:val="00804C48"/>
    <w:rsid w:val="0080505A"/>
    <w:rsid w:val="008060D1"/>
    <w:rsid w:val="00806639"/>
    <w:rsid w:val="00806A84"/>
    <w:rsid w:val="008073A4"/>
    <w:rsid w:val="00807C6C"/>
    <w:rsid w:val="008115ED"/>
    <w:rsid w:val="0081254B"/>
    <w:rsid w:val="0081340B"/>
    <w:rsid w:val="00815822"/>
    <w:rsid w:val="00815B93"/>
    <w:rsid w:val="00816585"/>
    <w:rsid w:val="00817BB4"/>
    <w:rsid w:val="00817E4F"/>
    <w:rsid w:val="00820F5B"/>
    <w:rsid w:val="00821021"/>
    <w:rsid w:val="008214BB"/>
    <w:rsid w:val="00821B58"/>
    <w:rsid w:val="00822D4E"/>
    <w:rsid w:val="00822FBA"/>
    <w:rsid w:val="0082398C"/>
    <w:rsid w:val="00824FF1"/>
    <w:rsid w:val="00825196"/>
    <w:rsid w:val="00826F4C"/>
    <w:rsid w:val="00831573"/>
    <w:rsid w:val="00833C51"/>
    <w:rsid w:val="008349A6"/>
    <w:rsid w:val="00835271"/>
    <w:rsid w:val="00835679"/>
    <w:rsid w:val="008377DA"/>
    <w:rsid w:val="00841F21"/>
    <w:rsid w:val="00842991"/>
    <w:rsid w:val="008429B0"/>
    <w:rsid w:val="00843900"/>
    <w:rsid w:val="00844C5B"/>
    <w:rsid w:val="00845898"/>
    <w:rsid w:val="00845A15"/>
    <w:rsid w:val="0084632F"/>
    <w:rsid w:val="00852528"/>
    <w:rsid w:val="008543F7"/>
    <w:rsid w:val="008545DC"/>
    <w:rsid w:val="00854A7E"/>
    <w:rsid w:val="00855209"/>
    <w:rsid w:val="00855B06"/>
    <w:rsid w:val="00856B95"/>
    <w:rsid w:val="00856D1A"/>
    <w:rsid w:val="0085702E"/>
    <w:rsid w:val="00857D29"/>
    <w:rsid w:val="0086161C"/>
    <w:rsid w:val="0086225C"/>
    <w:rsid w:val="008629A8"/>
    <w:rsid w:val="00862D06"/>
    <w:rsid w:val="00863225"/>
    <w:rsid w:val="00863ADA"/>
    <w:rsid w:val="00865BAA"/>
    <w:rsid w:val="008677CB"/>
    <w:rsid w:val="0087056E"/>
    <w:rsid w:val="00870CB6"/>
    <w:rsid w:val="008737AE"/>
    <w:rsid w:val="00873FEA"/>
    <w:rsid w:val="0087419B"/>
    <w:rsid w:val="00874592"/>
    <w:rsid w:val="008751C1"/>
    <w:rsid w:val="00876C1B"/>
    <w:rsid w:val="00876E70"/>
    <w:rsid w:val="008804E1"/>
    <w:rsid w:val="00880E30"/>
    <w:rsid w:val="008815B6"/>
    <w:rsid w:val="008818F6"/>
    <w:rsid w:val="00881D45"/>
    <w:rsid w:val="0088398E"/>
    <w:rsid w:val="00885182"/>
    <w:rsid w:val="0088647E"/>
    <w:rsid w:val="00887E02"/>
    <w:rsid w:val="00890382"/>
    <w:rsid w:val="0089046A"/>
    <w:rsid w:val="00891106"/>
    <w:rsid w:val="00891A58"/>
    <w:rsid w:val="00892833"/>
    <w:rsid w:val="00893479"/>
    <w:rsid w:val="0089375D"/>
    <w:rsid w:val="008943CB"/>
    <w:rsid w:val="008946B9"/>
    <w:rsid w:val="008960A2"/>
    <w:rsid w:val="008A056E"/>
    <w:rsid w:val="008A0882"/>
    <w:rsid w:val="008A0E65"/>
    <w:rsid w:val="008A10C1"/>
    <w:rsid w:val="008A181A"/>
    <w:rsid w:val="008A1C47"/>
    <w:rsid w:val="008A2289"/>
    <w:rsid w:val="008A3766"/>
    <w:rsid w:val="008A4F66"/>
    <w:rsid w:val="008A5290"/>
    <w:rsid w:val="008A593A"/>
    <w:rsid w:val="008A6A60"/>
    <w:rsid w:val="008A6C5A"/>
    <w:rsid w:val="008A6CCA"/>
    <w:rsid w:val="008B0BEE"/>
    <w:rsid w:val="008B1B8C"/>
    <w:rsid w:val="008B2C59"/>
    <w:rsid w:val="008B2DF3"/>
    <w:rsid w:val="008B353B"/>
    <w:rsid w:val="008B376A"/>
    <w:rsid w:val="008B444E"/>
    <w:rsid w:val="008B569F"/>
    <w:rsid w:val="008B7220"/>
    <w:rsid w:val="008C0669"/>
    <w:rsid w:val="008C08A5"/>
    <w:rsid w:val="008C1DD7"/>
    <w:rsid w:val="008C26FA"/>
    <w:rsid w:val="008C3E4D"/>
    <w:rsid w:val="008C4566"/>
    <w:rsid w:val="008C46B6"/>
    <w:rsid w:val="008C522A"/>
    <w:rsid w:val="008C5E71"/>
    <w:rsid w:val="008C64E3"/>
    <w:rsid w:val="008C6A8B"/>
    <w:rsid w:val="008C77F7"/>
    <w:rsid w:val="008D00EA"/>
    <w:rsid w:val="008D0920"/>
    <w:rsid w:val="008D0D1E"/>
    <w:rsid w:val="008D1175"/>
    <w:rsid w:val="008D1627"/>
    <w:rsid w:val="008D1DA0"/>
    <w:rsid w:val="008D21E3"/>
    <w:rsid w:val="008D284E"/>
    <w:rsid w:val="008D4ED3"/>
    <w:rsid w:val="008D54BF"/>
    <w:rsid w:val="008D5DC6"/>
    <w:rsid w:val="008D6A11"/>
    <w:rsid w:val="008D6F03"/>
    <w:rsid w:val="008D79B2"/>
    <w:rsid w:val="008E0D4B"/>
    <w:rsid w:val="008E1C27"/>
    <w:rsid w:val="008E1E54"/>
    <w:rsid w:val="008E2057"/>
    <w:rsid w:val="008E31EC"/>
    <w:rsid w:val="008E3C88"/>
    <w:rsid w:val="008E4E17"/>
    <w:rsid w:val="008E5337"/>
    <w:rsid w:val="008E610D"/>
    <w:rsid w:val="008E78F2"/>
    <w:rsid w:val="008E7B12"/>
    <w:rsid w:val="008F022C"/>
    <w:rsid w:val="008F2A60"/>
    <w:rsid w:val="008F310D"/>
    <w:rsid w:val="008F3888"/>
    <w:rsid w:val="008F3B22"/>
    <w:rsid w:val="008F43C7"/>
    <w:rsid w:val="008F45E0"/>
    <w:rsid w:val="008F4823"/>
    <w:rsid w:val="008F606D"/>
    <w:rsid w:val="008F7150"/>
    <w:rsid w:val="008F71CC"/>
    <w:rsid w:val="008F721C"/>
    <w:rsid w:val="00900662"/>
    <w:rsid w:val="0090136F"/>
    <w:rsid w:val="00901953"/>
    <w:rsid w:val="00901DF8"/>
    <w:rsid w:val="00902166"/>
    <w:rsid w:val="009040A1"/>
    <w:rsid w:val="0090473B"/>
    <w:rsid w:val="0090487F"/>
    <w:rsid w:val="00905282"/>
    <w:rsid w:val="00905908"/>
    <w:rsid w:val="009075A4"/>
    <w:rsid w:val="009101AF"/>
    <w:rsid w:val="00910400"/>
    <w:rsid w:val="00911808"/>
    <w:rsid w:val="009145FB"/>
    <w:rsid w:val="00915786"/>
    <w:rsid w:val="0091746C"/>
    <w:rsid w:val="00917D06"/>
    <w:rsid w:val="009207DB"/>
    <w:rsid w:val="00922024"/>
    <w:rsid w:val="00924853"/>
    <w:rsid w:val="009252E0"/>
    <w:rsid w:val="00925501"/>
    <w:rsid w:val="00926175"/>
    <w:rsid w:val="00926982"/>
    <w:rsid w:val="00926D4C"/>
    <w:rsid w:val="009270C4"/>
    <w:rsid w:val="009325F7"/>
    <w:rsid w:val="00932BCF"/>
    <w:rsid w:val="00933396"/>
    <w:rsid w:val="00934D73"/>
    <w:rsid w:val="00935042"/>
    <w:rsid w:val="0093740F"/>
    <w:rsid w:val="00937B4A"/>
    <w:rsid w:val="00937BE9"/>
    <w:rsid w:val="00937C1D"/>
    <w:rsid w:val="00940804"/>
    <w:rsid w:val="00940E9B"/>
    <w:rsid w:val="00940FC3"/>
    <w:rsid w:val="009410B3"/>
    <w:rsid w:val="0094131D"/>
    <w:rsid w:val="0094166C"/>
    <w:rsid w:val="00942120"/>
    <w:rsid w:val="009425F7"/>
    <w:rsid w:val="009427ED"/>
    <w:rsid w:val="00943BC0"/>
    <w:rsid w:val="00943DC3"/>
    <w:rsid w:val="00944AED"/>
    <w:rsid w:val="00944BF0"/>
    <w:rsid w:val="00946136"/>
    <w:rsid w:val="00946CD9"/>
    <w:rsid w:val="00947046"/>
    <w:rsid w:val="009505F4"/>
    <w:rsid w:val="00951216"/>
    <w:rsid w:val="0095279B"/>
    <w:rsid w:val="009531A9"/>
    <w:rsid w:val="00954282"/>
    <w:rsid w:val="00954427"/>
    <w:rsid w:val="00955EAC"/>
    <w:rsid w:val="009564ED"/>
    <w:rsid w:val="00956CA2"/>
    <w:rsid w:val="0096079B"/>
    <w:rsid w:val="0096218D"/>
    <w:rsid w:val="00964509"/>
    <w:rsid w:val="0096501B"/>
    <w:rsid w:val="0096590C"/>
    <w:rsid w:val="009662FC"/>
    <w:rsid w:val="0096662B"/>
    <w:rsid w:val="009666AF"/>
    <w:rsid w:val="00967180"/>
    <w:rsid w:val="0096797D"/>
    <w:rsid w:val="00970704"/>
    <w:rsid w:val="00970B65"/>
    <w:rsid w:val="00971127"/>
    <w:rsid w:val="0097119E"/>
    <w:rsid w:val="00971EB0"/>
    <w:rsid w:val="009734B8"/>
    <w:rsid w:val="00973514"/>
    <w:rsid w:val="00973AC2"/>
    <w:rsid w:val="009741E7"/>
    <w:rsid w:val="00975C75"/>
    <w:rsid w:val="00977506"/>
    <w:rsid w:val="0098015F"/>
    <w:rsid w:val="0098177A"/>
    <w:rsid w:val="00983583"/>
    <w:rsid w:val="00983EFD"/>
    <w:rsid w:val="009855B0"/>
    <w:rsid w:val="009859A8"/>
    <w:rsid w:val="00986257"/>
    <w:rsid w:val="0098658A"/>
    <w:rsid w:val="00986861"/>
    <w:rsid w:val="00987CBC"/>
    <w:rsid w:val="00991EB0"/>
    <w:rsid w:val="0099212B"/>
    <w:rsid w:val="0099245F"/>
    <w:rsid w:val="00995768"/>
    <w:rsid w:val="00996326"/>
    <w:rsid w:val="0099679A"/>
    <w:rsid w:val="00996F95"/>
    <w:rsid w:val="00997EA5"/>
    <w:rsid w:val="009A07D5"/>
    <w:rsid w:val="009A14B4"/>
    <w:rsid w:val="009A1FE7"/>
    <w:rsid w:val="009A2967"/>
    <w:rsid w:val="009A36B7"/>
    <w:rsid w:val="009A3720"/>
    <w:rsid w:val="009A4214"/>
    <w:rsid w:val="009A42CF"/>
    <w:rsid w:val="009A44E8"/>
    <w:rsid w:val="009A4C58"/>
    <w:rsid w:val="009A581E"/>
    <w:rsid w:val="009B12AD"/>
    <w:rsid w:val="009B1DA5"/>
    <w:rsid w:val="009B1E1D"/>
    <w:rsid w:val="009B28FD"/>
    <w:rsid w:val="009B2AD6"/>
    <w:rsid w:val="009B3172"/>
    <w:rsid w:val="009B4575"/>
    <w:rsid w:val="009B461D"/>
    <w:rsid w:val="009B53A2"/>
    <w:rsid w:val="009B5594"/>
    <w:rsid w:val="009B59ED"/>
    <w:rsid w:val="009B729E"/>
    <w:rsid w:val="009B7498"/>
    <w:rsid w:val="009C264B"/>
    <w:rsid w:val="009C34F1"/>
    <w:rsid w:val="009C3B80"/>
    <w:rsid w:val="009C3D84"/>
    <w:rsid w:val="009C48C6"/>
    <w:rsid w:val="009C4E3F"/>
    <w:rsid w:val="009C5D76"/>
    <w:rsid w:val="009C5DFB"/>
    <w:rsid w:val="009C5FDE"/>
    <w:rsid w:val="009C7B1D"/>
    <w:rsid w:val="009C7F10"/>
    <w:rsid w:val="009C7FF8"/>
    <w:rsid w:val="009D03F1"/>
    <w:rsid w:val="009D07CE"/>
    <w:rsid w:val="009D0921"/>
    <w:rsid w:val="009D101B"/>
    <w:rsid w:val="009D118E"/>
    <w:rsid w:val="009D1CF4"/>
    <w:rsid w:val="009D380F"/>
    <w:rsid w:val="009D57A7"/>
    <w:rsid w:val="009D6546"/>
    <w:rsid w:val="009D65EE"/>
    <w:rsid w:val="009E0525"/>
    <w:rsid w:val="009E1370"/>
    <w:rsid w:val="009E20A6"/>
    <w:rsid w:val="009E233F"/>
    <w:rsid w:val="009E2CFA"/>
    <w:rsid w:val="009E323A"/>
    <w:rsid w:val="009E328B"/>
    <w:rsid w:val="009E3C1A"/>
    <w:rsid w:val="009E6DD0"/>
    <w:rsid w:val="009E6DEE"/>
    <w:rsid w:val="009E700C"/>
    <w:rsid w:val="009E7AFC"/>
    <w:rsid w:val="009F082A"/>
    <w:rsid w:val="009F0A65"/>
    <w:rsid w:val="009F0BD9"/>
    <w:rsid w:val="009F12B4"/>
    <w:rsid w:val="009F33FA"/>
    <w:rsid w:val="009F347C"/>
    <w:rsid w:val="009F54D7"/>
    <w:rsid w:val="009F6619"/>
    <w:rsid w:val="009F68FF"/>
    <w:rsid w:val="00A00E77"/>
    <w:rsid w:val="00A01A4C"/>
    <w:rsid w:val="00A01C1F"/>
    <w:rsid w:val="00A01C98"/>
    <w:rsid w:val="00A02B9E"/>
    <w:rsid w:val="00A054CB"/>
    <w:rsid w:val="00A05E8F"/>
    <w:rsid w:val="00A06A54"/>
    <w:rsid w:val="00A07933"/>
    <w:rsid w:val="00A10423"/>
    <w:rsid w:val="00A10A6F"/>
    <w:rsid w:val="00A118B4"/>
    <w:rsid w:val="00A129C6"/>
    <w:rsid w:val="00A14A59"/>
    <w:rsid w:val="00A14BDD"/>
    <w:rsid w:val="00A15A52"/>
    <w:rsid w:val="00A16698"/>
    <w:rsid w:val="00A1691E"/>
    <w:rsid w:val="00A1706F"/>
    <w:rsid w:val="00A1721D"/>
    <w:rsid w:val="00A17A42"/>
    <w:rsid w:val="00A210DB"/>
    <w:rsid w:val="00A21667"/>
    <w:rsid w:val="00A220FB"/>
    <w:rsid w:val="00A223A5"/>
    <w:rsid w:val="00A240BA"/>
    <w:rsid w:val="00A245AB"/>
    <w:rsid w:val="00A24BC5"/>
    <w:rsid w:val="00A2504C"/>
    <w:rsid w:val="00A26E5D"/>
    <w:rsid w:val="00A276A6"/>
    <w:rsid w:val="00A276FF"/>
    <w:rsid w:val="00A27EB5"/>
    <w:rsid w:val="00A30C82"/>
    <w:rsid w:val="00A31A01"/>
    <w:rsid w:val="00A32211"/>
    <w:rsid w:val="00A33FDC"/>
    <w:rsid w:val="00A34114"/>
    <w:rsid w:val="00A34C81"/>
    <w:rsid w:val="00A34E19"/>
    <w:rsid w:val="00A35C90"/>
    <w:rsid w:val="00A362F9"/>
    <w:rsid w:val="00A365A4"/>
    <w:rsid w:val="00A36F35"/>
    <w:rsid w:val="00A373CC"/>
    <w:rsid w:val="00A3760C"/>
    <w:rsid w:val="00A37704"/>
    <w:rsid w:val="00A37E59"/>
    <w:rsid w:val="00A40108"/>
    <w:rsid w:val="00A40D0C"/>
    <w:rsid w:val="00A41302"/>
    <w:rsid w:val="00A41C59"/>
    <w:rsid w:val="00A4350C"/>
    <w:rsid w:val="00A43644"/>
    <w:rsid w:val="00A4383B"/>
    <w:rsid w:val="00A44BB6"/>
    <w:rsid w:val="00A450D2"/>
    <w:rsid w:val="00A45734"/>
    <w:rsid w:val="00A45B90"/>
    <w:rsid w:val="00A462F7"/>
    <w:rsid w:val="00A46659"/>
    <w:rsid w:val="00A46F1A"/>
    <w:rsid w:val="00A47029"/>
    <w:rsid w:val="00A477C3"/>
    <w:rsid w:val="00A47F6B"/>
    <w:rsid w:val="00A50299"/>
    <w:rsid w:val="00A5067A"/>
    <w:rsid w:val="00A533D5"/>
    <w:rsid w:val="00A5510E"/>
    <w:rsid w:val="00A559F4"/>
    <w:rsid w:val="00A56547"/>
    <w:rsid w:val="00A57079"/>
    <w:rsid w:val="00A570E0"/>
    <w:rsid w:val="00A606A0"/>
    <w:rsid w:val="00A6077B"/>
    <w:rsid w:val="00A60A60"/>
    <w:rsid w:val="00A61263"/>
    <w:rsid w:val="00A614AD"/>
    <w:rsid w:val="00A61886"/>
    <w:rsid w:val="00A61E92"/>
    <w:rsid w:val="00A63D89"/>
    <w:rsid w:val="00A6526E"/>
    <w:rsid w:val="00A65DA4"/>
    <w:rsid w:val="00A66E04"/>
    <w:rsid w:val="00A67194"/>
    <w:rsid w:val="00A671B3"/>
    <w:rsid w:val="00A7040E"/>
    <w:rsid w:val="00A734F2"/>
    <w:rsid w:val="00A73DEE"/>
    <w:rsid w:val="00A74678"/>
    <w:rsid w:val="00A75AEA"/>
    <w:rsid w:val="00A76063"/>
    <w:rsid w:val="00A767EB"/>
    <w:rsid w:val="00A771BF"/>
    <w:rsid w:val="00A77299"/>
    <w:rsid w:val="00A803C1"/>
    <w:rsid w:val="00A815B6"/>
    <w:rsid w:val="00A81953"/>
    <w:rsid w:val="00A827C9"/>
    <w:rsid w:val="00A85B31"/>
    <w:rsid w:val="00A861F3"/>
    <w:rsid w:val="00A86C48"/>
    <w:rsid w:val="00A90DB1"/>
    <w:rsid w:val="00A9147B"/>
    <w:rsid w:val="00A91BA8"/>
    <w:rsid w:val="00A91EF1"/>
    <w:rsid w:val="00A91EF2"/>
    <w:rsid w:val="00A9325C"/>
    <w:rsid w:val="00A93680"/>
    <w:rsid w:val="00A94244"/>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17D"/>
    <w:rsid w:val="00AA6916"/>
    <w:rsid w:val="00AA7D89"/>
    <w:rsid w:val="00AB110E"/>
    <w:rsid w:val="00AB11CF"/>
    <w:rsid w:val="00AB1287"/>
    <w:rsid w:val="00AB1CE8"/>
    <w:rsid w:val="00AB5190"/>
    <w:rsid w:val="00AB5513"/>
    <w:rsid w:val="00AB6DFC"/>
    <w:rsid w:val="00AB7354"/>
    <w:rsid w:val="00AB7C46"/>
    <w:rsid w:val="00AC3637"/>
    <w:rsid w:val="00AC3D4F"/>
    <w:rsid w:val="00AC3DB7"/>
    <w:rsid w:val="00AC4699"/>
    <w:rsid w:val="00AC59DF"/>
    <w:rsid w:val="00AC72C7"/>
    <w:rsid w:val="00AC7899"/>
    <w:rsid w:val="00AD13D6"/>
    <w:rsid w:val="00AD4087"/>
    <w:rsid w:val="00AD6466"/>
    <w:rsid w:val="00AD6A21"/>
    <w:rsid w:val="00AD6BE0"/>
    <w:rsid w:val="00AD752F"/>
    <w:rsid w:val="00AD7E92"/>
    <w:rsid w:val="00AE0C8D"/>
    <w:rsid w:val="00AE0E2A"/>
    <w:rsid w:val="00AE1411"/>
    <w:rsid w:val="00AE2330"/>
    <w:rsid w:val="00AE27D6"/>
    <w:rsid w:val="00AE5241"/>
    <w:rsid w:val="00AE55BC"/>
    <w:rsid w:val="00AE62E7"/>
    <w:rsid w:val="00AE686D"/>
    <w:rsid w:val="00AE6B27"/>
    <w:rsid w:val="00AF0DC0"/>
    <w:rsid w:val="00AF0F96"/>
    <w:rsid w:val="00AF17E4"/>
    <w:rsid w:val="00AF21D7"/>
    <w:rsid w:val="00AF28EB"/>
    <w:rsid w:val="00AF31BA"/>
    <w:rsid w:val="00AF36B6"/>
    <w:rsid w:val="00AF4803"/>
    <w:rsid w:val="00AF4D10"/>
    <w:rsid w:val="00AF58CB"/>
    <w:rsid w:val="00AF726F"/>
    <w:rsid w:val="00B00506"/>
    <w:rsid w:val="00B00E0B"/>
    <w:rsid w:val="00B00ED5"/>
    <w:rsid w:val="00B02315"/>
    <w:rsid w:val="00B02BF0"/>
    <w:rsid w:val="00B034DD"/>
    <w:rsid w:val="00B03AB4"/>
    <w:rsid w:val="00B05B91"/>
    <w:rsid w:val="00B06ED4"/>
    <w:rsid w:val="00B0746B"/>
    <w:rsid w:val="00B077CC"/>
    <w:rsid w:val="00B07A28"/>
    <w:rsid w:val="00B13397"/>
    <w:rsid w:val="00B1400D"/>
    <w:rsid w:val="00B147C9"/>
    <w:rsid w:val="00B15BB2"/>
    <w:rsid w:val="00B16EBE"/>
    <w:rsid w:val="00B2060B"/>
    <w:rsid w:val="00B21D0E"/>
    <w:rsid w:val="00B22C57"/>
    <w:rsid w:val="00B23C76"/>
    <w:rsid w:val="00B23EEE"/>
    <w:rsid w:val="00B25E1E"/>
    <w:rsid w:val="00B26309"/>
    <w:rsid w:val="00B27298"/>
    <w:rsid w:val="00B27384"/>
    <w:rsid w:val="00B276E4"/>
    <w:rsid w:val="00B27A6D"/>
    <w:rsid w:val="00B309F9"/>
    <w:rsid w:val="00B30DAD"/>
    <w:rsid w:val="00B312A8"/>
    <w:rsid w:val="00B31782"/>
    <w:rsid w:val="00B36928"/>
    <w:rsid w:val="00B37293"/>
    <w:rsid w:val="00B4076A"/>
    <w:rsid w:val="00B413EB"/>
    <w:rsid w:val="00B42C20"/>
    <w:rsid w:val="00B43AD9"/>
    <w:rsid w:val="00B443D5"/>
    <w:rsid w:val="00B44482"/>
    <w:rsid w:val="00B450D9"/>
    <w:rsid w:val="00B46FF2"/>
    <w:rsid w:val="00B47E06"/>
    <w:rsid w:val="00B539EB"/>
    <w:rsid w:val="00B54B76"/>
    <w:rsid w:val="00B560E5"/>
    <w:rsid w:val="00B576E1"/>
    <w:rsid w:val="00B6088D"/>
    <w:rsid w:val="00B608F1"/>
    <w:rsid w:val="00B60F79"/>
    <w:rsid w:val="00B6252C"/>
    <w:rsid w:val="00B62CBE"/>
    <w:rsid w:val="00B62EFD"/>
    <w:rsid w:val="00B63999"/>
    <w:rsid w:val="00B63B4A"/>
    <w:rsid w:val="00B64F8D"/>
    <w:rsid w:val="00B6533C"/>
    <w:rsid w:val="00B6731A"/>
    <w:rsid w:val="00B673CA"/>
    <w:rsid w:val="00B70903"/>
    <w:rsid w:val="00B7108D"/>
    <w:rsid w:val="00B7117A"/>
    <w:rsid w:val="00B713F0"/>
    <w:rsid w:val="00B72053"/>
    <w:rsid w:val="00B74530"/>
    <w:rsid w:val="00B74E4D"/>
    <w:rsid w:val="00B75D3F"/>
    <w:rsid w:val="00B75D4C"/>
    <w:rsid w:val="00B76F2C"/>
    <w:rsid w:val="00B77723"/>
    <w:rsid w:val="00B77863"/>
    <w:rsid w:val="00B801AC"/>
    <w:rsid w:val="00B80B2C"/>
    <w:rsid w:val="00B815D3"/>
    <w:rsid w:val="00B8221B"/>
    <w:rsid w:val="00B8270D"/>
    <w:rsid w:val="00B82B33"/>
    <w:rsid w:val="00B8384C"/>
    <w:rsid w:val="00B843A1"/>
    <w:rsid w:val="00B854BE"/>
    <w:rsid w:val="00B85704"/>
    <w:rsid w:val="00B868D6"/>
    <w:rsid w:val="00B86D0A"/>
    <w:rsid w:val="00B8748B"/>
    <w:rsid w:val="00B87B3F"/>
    <w:rsid w:val="00B91818"/>
    <w:rsid w:val="00B922D6"/>
    <w:rsid w:val="00B92990"/>
    <w:rsid w:val="00B93436"/>
    <w:rsid w:val="00B93E18"/>
    <w:rsid w:val="00B93E2C"/>
    <w:rsid w:val="00B94BE5"/>
    <w:rsid w:val="00B96069"/>
    <w:rsid w:val="00BA0A76"/>
    <w:rsid w:val="00BA11A9"/>
    <w:rsid w:val="00BA30C2"/>
    <w:rsid w:val="00BA31C6"/>
    <w:rsid w:val="00BA4B0A"/>
    <w:rsid w:val="00BA699B"/>
    <w:rsid w:val="00BA76AB"/>
    <w:rsid w:val="00BB0225"/>
    <w:rsid w:val="00BB0423"/>
    <w:rsid w:val="00BB1D73"/>
    <w:rsid w:val="00BB2CE4"/>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E3B"/>
    <w:rsid w:val="00BD219A"/>
    <w:rsid w:val="00BD2C42"/>
    <w:rsid w:val="00BD2EF9"/>
    <w:rsid w:val="00BD2F1D"/>
    <w:rsid w:val="00BD3997"/>
    <w:rsid w:val="00BD5D7E"/>
    <w:rsid w:val="00BD68BB"/>
    <w:rsid w:val="00BD6EF9"/>
    <w:rsid w:val="00BD754C"/>
    <w:rsid w:val="00BD78C6"/>
    <w:rsid w:val="00BE01E1"/>
    <w:rsid w:val="00BE15DA"/>
    <w:rsid w:val="00BE19AD"/>
    <w:rsid w:val="00BE369C"/>
    <w:rsid w:val="00BE4FBC"/>
    <w:rsid w:val="00BE580D"/>
    <w:rsid w:val="00BE5B7C"/>
    <w:rsid w:val="00BE72FD"/>
    <w:rsid w:val="00BE733C"/>
    <w:rsid w:val="00BE73D4"/>
    <w:rsid w:val="00BE7AF2"/>
    <w:rsid w:val="00BF1EF8"/>
    <w:rsid w:val="00BF25A9"/>
    <w:rsid w:val="00BF2DE5"/>
    <w:rsid w:val="00BF4C49"/>
    <w:rsid w:val="00BF4D1A"/>
    <w:rsid w:val="00BF5168"/>
    <w:rsid w:val="00BF5A5B"/>
    <w:rsid w:val="00BF6338"/>
    <w:rsid w:val="00BF6D56"/>
    <w:rsid w:val="00C00D03"/>
    <w:rsid w:val="00C00D9C"/>
    <w:rsid w:val="00C01DFC"/>
    <w:rsid w:val="00C0270E"/>
    <w:rsid w:val="00C0282B"/>
    <w:rsid w:val="00C047A4"/>
    <w:rsid w:val="00C05013"/>
    <w:rsid w:val="00C067E0"/>
    <w:rsid w:val="00C0773D"/>
    <w:rsid w:val="00C1025D"/>
    <w:rsid w:val="00C11733"/>
    <w:rsid w:val="00C127F7"/>
    <w:rsid w:val="00C12CC1"/>
    <w:rsid w:val="00C12D93"/>
    <w:rsid w:val="00C12EE2"/>
    <w:rsid w:val="00C13103"/>
    <w:rsid w:val="00C139DE"/>
    <w:rsid w:val="00C13B55"/>
    <w:rsid w:val="00C13CB8"/>
    <w:rsid w:val="00C14E1C"/>
    <w:rsid w:val="00C15130"/>
    <w:rsid w:val="00C151CE"/>
    <w:rsid w:val="00C15BBB"/>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BFF"/>
    <w:rsid w:val="00C35C8E"/>
    <w:rsid w:val="00C36B1D"/>
    <w:rsid w:val="00C3742C"/>
    <w:rsid w:val="00C410D2"/>
    <w:rsid w:val="00C41363"/>
    <w:rsid w:val="00C42A78"/>
    <w:rsid w:val="00C437D6"/>
    <w:rsid w:val="00C45897"/>
    <w:rsid w:val="00C4601D"/>
    <w:rsid w:val="00C4652D"/>
    <w:rsid w:val="00C4774C"/>
    <w:rsid w:val="00C509D2"/>
    <w:rsid w:val="00C51CCA"/>
    <w:rsid w:val="00C53131"/>
    <w:rsid w:val="00C54473"/>
    <w:rsid w:val="00C55945"/>
    <w:rsid w:val="00C55D94"/>
    <w:rsid w:val="00C55DCB"/>
    <w:rsid w:val="00C55FBB"/>
    <w:rsid w:val="00C57582"/>
    <w:rsid w:val="00C608EF"/>
    <w:rsid w:val="00C612BB"/>
    <w:rsid w:val="00C612BF"/>
    <w:rsid w:val="00C61338"/>
    <w:rsid w:val="00C6207E"/>
    <w:rsid w:val="00C6324D"/>
    <w:rsid w:val="00C64FAE"/>
    <w:rsid w:val="00C658D0"/>
    <w:rsid w:val="00C66344"/>
    <w:rsid w:val="00C66EDC"/>
    <w:rsid w:val="00C674F7"/>
    <w:rsid w:val="00C67D05"/>
    <w:rsid w:val="00C714EE"/>
    <w:rsid w:val="00C72A05"/>
    <w:rsid w:val="00C731E1"/>
    <w:rsid w:val="00C745D7"/>
    <w:rsid w:val="00C7702A"/>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2931"/>
    <w:rsid w:val="00C92949"/>
    <w:rsid w:val="00C9312F"/>
    <w:rsid w:val="00C934A4"/>
    <w:rsid w:val="00C94499"/>
    <w:rsid w:val="00C9491A"/>
    <w:rsid w:val="00C94BE9"/>
    <w:rsid w:val="00C95DD7"/>
    <w:rsid w:val="00C95ED6"/>
    <w:rsid w:val="00C96BBB"/>
    <w:rsid w:val="00CA04D5"/>
    <w:rsid w:val="00CA1AC8"/>
    <w:rsid w:val="00CA1FB0"/>
    <w:rsid w:val="00CA24D1"/>
    <w:rsid w:val="00CA39CC"/>
    <w:rsid w:val="00CA403D"/>
    <w:rsid w:val="00CA4743"/>
    <w:rsid w:val="00CA4933"/>
    <w:rsid w:val="00CA57FE"/>
    <w:rsid w:val="00CA5FF6"/>
    <w:rsid w:val="00CA6F32"/>
    <w:rsid w:val="00CA735E"/>
    <w:rsid w:val="00CB01B1"/>
    <w:rsid w:val="00CB11BB"/>
    <w:rsid w:val="00CB138F"/>
    <w:rsid w:val="00CB13CF"/>
    <w:rsid w:val="00CB13E0"/>
    <w:rsid w:val="00CB1D58"/>
    <w:rsid w:val="00CB2F02"/>
    <w:rsid w:val="00CB44CC"/>
    <w:rsid w:val="00CB4522"/>
    <w:rsid w:val="00CB5CC7"/>
    <w:rsid w:val="00CB72D3"/>
    <w:rsid w:val="00CB76B8"/>
    <w:rsid w:val="00CB7703"/>
    <w:rsid w:val="00CB77EE"/>
    <w:rsid w:val="00CB783B"/>
    <w:rsid w:val="00CB7AE2"/>
    <w:rsid w:val="00CC1C1E"/>
    <w:rsid w:val="00CC1F24"/>
    <w:rsid w:val="00CC2611"/>
    <w:rsid w:val="00CC2803"/>
    <w:rsid w:val="00CC295E"/>
    <w:rsid w:val="00CC3854"/>
    <w:rsid w:val="00CC48D6"/>
    <w:rsid w:val="00CC544C"/>
    <w:rsid w:val="00CC559E"/>
    <w:rsid w:val="00CC707F"/>
    <w:rsid w:val="00CC708A"/>
    <w:rsid w:val="00CC79CD"/>
    <w:rsid w:val="00CD0E5B"/>
    <w:rsid w:val="00CD1841"/>
    <w:rsid w:val="00CD1BF1"/>
    <w:rsid w:val="00CD27CD"/>
    <w:rsid w:val="00CD4BF8"/>
    <w:rsid w:val="00CD4F62"/>
    <w:rsid w:val="00CD52CD"/>
    <w:rsid w:val="00CD652E"/>
    <w:rsid w:val="00CD68DD"/>
    <w:rsid w:val="00CD7B8B"/>
    <w:rsid w:val="00CD7D41"/>
    <w:rsid w:val="00CE01F8"/>
    <w:rsid w:val="00CE08BB"/>
    <w:rsid w:val="00CE24B9"/>
    <w:rsid w:val="00CE2B04"/>
    <w:rsid w:val="00CE3E8B"/>
    <w:rsid w:val="00CE47DC"/>
    <w:rsid w:val="00CE5298"/>
    <w:rsid w:val="00CE5322"/>
    <w:rsid w:val="00CE58EB"/>
    <w:rsid w:val="00CF0041"/>
    <w:rsid w:val="00CF0D4B"/>
    <w:rsid w:val="00CF2605"/>
    <w:rsid w:val="00CF2804"/>
    <w:rsid w:val="00CF35B2"/>
    <w:rsid w:val="00CF38D4"/>
    <w:rsid w:val="00CF5C07"/>
    <w:rsid w:val="00CF5CFC"/>
    <w:rsid w:val="00CF779B"/>
    <w:rsid w:val="00CF7EAF"/>
    <w:rsid w:val="00D00AF5"/>
    <w:rsid w:val="00D00E75"/>
    <w:rsid w:val="00D01917"/>
    <w:rsid w:val="00D01EBC"/>
    <w:rsid w:val="00D03DE1"/>
    <w:rsid w:val="00D03EDD"/>
    <w:rsid w:val="00D03EEF"/>
    <w:rsid w:val="00D04F08"/>
    <w:rsid w:val="00D050BB"/>
    <w:rsid w:val="00D063AC"/>
    <w:rsid w:val="00D07087"/>
    <w:rsid w:val="00D07A1B"/>
    <w:rsid w:val="00D07E2A"/>
    <w:rsid w:val="00D11666"/>
    <w:rsid w:val="00D11D07"/>
    <w:rsid w:val="00D138F2"/>
    <w:rsid w:val="00D1489F"/>
    <w:rsid w:val="00D159F8"/>
    <w:rsid w:val="00D15DD2"/>
    <w:rsid w:val="00D16E55"/>
    <w:rsid w:val="00D16ECF"/>
    <w:rsid w:val="00D17C04"/>
    <w:rsid w:val="00D17CFB"/>
    <w:rsid w:val="00D17E3E"/>
    <w:rsid w:val="00D2046D"/>
    <w:rsid w:val="00D21820"/>
    <w:rsid w:val="00D21980"/>
    <w:rsid w:val="00D2255E"/>
    <w:rsid w:val="00D226B9"/>
    <w:rsid w:val="00D23437"/>
    <w:rsid w:val="00D2372E"/>
    <w:rsid w:val="00D2373E"/>
    <w:rsid w:val="00D239F4"/>
    <w:rsid w:val="00D2459A"/>
    <w:rsid w:val="00D248D9"/>
    <w:rsid w:val="00D24CD7"/>
    <w:rsid w:val="00D2691E"/>
    <w:rsid w:val="00D27131"/>
    <w:rsid w:val="00D31AD0"/>
    <w:rsid w:val="00D31BBD"/>
    <w:rsid w:val="00D34E83"/>
    <w:rsid w:val="00D35189"/>
    <w:rsid w:val="00D352D0"/>
    <w:rsid w:val="00D37354"/>
    <w:rsid w:val="00D404B1"/>
    <w:rsid w:val="00D40B21"/>
    <w:rsid w:val="00D4104F"/>
    <w:rsid w:val="00D424A4"/>
    <w:rsid w:val="00D43988"/>
    <w:rsid w:val="00D4707E"/>
    <w:rsid w:val="00D47238"/>
    <w:rsid w:val="00D4762C"/>
    <w:rsid w:val="00D47867"/>
    <w:rsid w:val="00D47EAF"/>
    <w:rsid w:val="00D50B2A"/>
    <w:rsid w:val="00D51517"/>
    <w:rsid w:val="00D52D7F"/>
    <w:rsid w:val="00D53034"/>
    <w:rsid w:val="00D541A8"/>
    <w:rsid w:val="00D54F79"/>
    <w:rsid w:val="00D55A05"/>
    <w:rsid w:val="00D562A8"/>
    <w:rsid w:val="00D56D22"/>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1DB6"/>
    <w:rsid w:val="00D72FAD"/>
    <w:rsid w:val="00D7314F"/>
    <w:rsid w:val="00D73259"/>
    <w:rsid w:val="00D73AF1"/>
    <w:rsid w:val="00D73E64"/>
    <w:rsid w:val="00D74504"/>
    <w:rsid w:val="00D74639"/>
    <w:rsid w:val="00D74926"/>
    <w:rsid w:val="00D74E0E"/>
    <w:rsid w:val="00D75449"/>
    <w:rsid w:val="00D770D5"/>
    <w:rsid w:val="00D809B7"/>
    <w:rsid w:val="00D812A9"/>
    <w:rsid w:val="00D813B0"/>
    <w:rsid w:val="00D8141C"/>
    <w:rsid w:val="00D81A57"/>
    <w:rsid w:val="00D8269A"/>
    <w:rsid w:val="00D82962"/>
    <w:rsid w:val="00D82A4C"/>
    <w:rsid w:val="00D8383F"/>
    <w:rsid w:val="00D83A65"/>
    <w:rsid w:val="00D846CF"/>
    <w:rsid w:val="00D85683"/>
    <w:rsid w:val="00D868F4"/>
    <w:rsid w:val="00D86D21"/>
    <w:rsid w:val="00D86D72"/>
    <w:rsid w:val="00D8772B"/>
    <w:rsid w:val="00D90F8A"/>
    <w:rsid w:val="00D91621"/>
    <w:rsid w:val="00D9180B"/>
    <w:rsid w:val="00D925BC"/>
    <w:rsid w:val="00D933FE"/>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A09FC"/>
    <w:rsid w:val="00DA0F63"/>
    <w:rsid w:val="00DA28A7"/>
    <w:rsid w:val="00DA2BB0"/>
    <w:rsid w:val="00DA2FCA"/>
    <w:rsid w:val="00DA348E"/>
    <w:rsid w:val="00DA373A"/>
    <w:rsid w:val="00DA59D2"/>
    <w:rsid w:val="00DA5A9C"/>
    <w:rsid w:val="00DA5F60"/>
    <w:rsid w:val="00DA6E9D"/>
    <w:rsid w:val="00DA6FF3"/>
    <w:rsid w:val="00DA7429"/>
    <w:rsid w:val="00DA7BAE"/>
    <w:rsid w:val="00DB1595"/>
    <w:rsid w:val="00DB297D"/>
    <w:rsid w:val="00DB2B7E"/>
    <w:rsid w:val="00DB2BA7"/>
    <w:rsid w:val="00DB2F6C"/>
    <w:rsid w:val="00DB345D"/>
    <w:rsid w:val="00DB5719"/>
    <w:rsid w:val="00DB624E"/>
    <w:rsid w:val="00DB7C6B"/>
    <w:rsid w:val="00DC02EA"/>
    <w:rsid w:val="00DC06C6"/>
    <w:rsid w:val="00DC0860"/>
    <w:rsid w:val="00DC1309"/>
    <w:rsid w:val="00DC16F9"/>
    <w:rsid w:val="00DC1CA6"/>
    <w:rsid w:val="00DC20CF"/>
    <w:rsid w:val="00DC27E3"/>
    <w:rsid w:val="00DC3472"/>
    <w:rsid w:val="00DC4B44"/>
    <w:rsid w:val="00DC5C38"/>
    <w:rsid w:val="00DC61A3"/>
    <w:rsid w:val="00DC6EB6"/>
    <w:rsid w:val="00DC7E69"/>
    <w:rsid w:val="00DD0467"/>
    <w:rsid w:val="00DD15EF"/>
    <w:rsid w:val="00DD1738"/>
    <w:rsid w:val="00DD190E"/>
    <w:rsid w:val="00DD3316"/>
    <w:rsid w:val="00DD3E02"/>
    <w:rsid w:val="00DD4389"/>
    <w:rsid w:val="00DD5654"/>
    <w:rsid w:val="00DD5E57"/>
    <w:rsid w:val="00DD60E3"/>
    <w:rsid w:val="00DD7B31"/>
    <w:rsid w:val="00DD7F9B"/>
    <w:rsid w:val="00DE0214"/>
    <w:rsid w:val="00DE3385"/>
    <w:rsid w:val="00DE3BF3"/>
    <w:rsid w:val="00DE3CA1"/>
    <w:rsid w:val="00DE4007"/>
    <w:rsid w:val="00DE4638"/>
    <w:rsid w:val="00DE4651"/>
    <w:rsid w:val="00DE47FC"/>
    <w:rsid w:val="00DE4B0F"/>
    <w:rsid w:val="00DE534A"/>
    <w:rsid w:val="00DE55FD"/>
    <w:rsid w:val="00DE5BD8"/>
    <w:rsid w:val="00DE7265"/>
    <w:rsid w:val="00DE7525"/>
    <w:rsid w:val="00DE76A1"/>
    <w:rsid w:val="00DF2247"/>
    <w:rsid w:val="00DF2353"/>
    <w:rsid w:val="00DF3AB2"/>
    <w:rsid w:val="00DF5784"/>
    <w:rsid w:val="00DF58B8"/>
    <w:rsid w:val="00DF5FF8"/>
    <w:rsid w:val="00DF6EE5"/>
    <w:rsid w:val="00E0077B"/>
    <w:rsid w:val="00E00898"/>
    <w:rsid w:val="00E03634"/>
    <w:rsid w:val="00E050B6"/>
    <w:rsid w:val="00E05412"/>
    <w:rsid w:val="00E0557E"/>
    <w:rsid w:val="00E05D14"/>
    <w:rsid w:val="00E0628E"/>
    <w:rsid w:val="00E06460"/>
    <w:rsid w:val="00E073CF"/>
    <w:rsid w:val="00E07997"/>
    <w:rsid w:val="00E07A6A"/>
    <w:rsid w:val="00E07EB8"/>
    <w:rsid w:val="00E107B2"/>
    <w:rsid w:val="00E10EB1"/>
    <w:rsid w:val="00E114CF"/>
    <w:rsid w:val="00E115E0"/>
    <w:rsid w:val="00E1200C"/>
    <w:rsid w:val="00E120E4"/>
    <w:rsid w:val="00E13636"/>
    <w:rsid w:val="00E13876"/>
    <w:rsid w:val="00E149F4"/>
    <w:rsid w:val="00E17ADE"/>
    <w:rsid w:val="00E17ECD"/>
    <w:rsid w:val="00E17F53"/>
    <w:rsid w:val="00E20354"/>
    <w:rsid w:val="00E207DB"/>
    <w:rsid w:val="00E21F5A"/>
    <w:rsid w:val="00E25124"/>
    <w:rsid w:val="00E25DAC"/>
    <w:rsid w:val="00E261F8"/>
    <w:rsid w:val="00E26E25"/>
    <w:rsid w:val="00E27DF3"/>
    <w:rsid w:val="00E27F29"/>
    <w:rsid w:val="00E30FDA"/>
    <w:rsid w:val="00E3110A"/>
    <w:rsid w:val="00E319DC"/>
    <w:rsid w:val="00E324AD"/>
    <w:rsid w:val="00E3342D"/>
    <w:rsid w:val="00E33683"/>
    <w:rsid w:val="00E33734"/>
    <w:rsid w:val="00E34AA9"/>
    <w:rsid w:val="00E368F3"/>
    <w:rsid w:val="00E36A4F"/>
    <w:rsid w:val="00E37D5F"/>
    <w:rsid w:val="00E429A0"/>
    <w:rsid w:val="00E42D39"/>
    <w:rsid w:val="00E42FE3"/>
    <w:rsid w:val="00E44CD4"/>
    <w:rsid w:val="00E45B91"/>
    <w:rsid w:val="00E46804"/>
    <w:rsid w:val="00E46C57"/>
    <w:rsid w:val="00E513EE"/>
    <w:rsid w:val="00E5176B"/>
    <w:rsid w:val="00E527C9"/>
    <w:rsid w:val="00E528BA"/>
    <w:rsid w:val="00E53497"/>
    <w:rsid w:val="00E534DF"/>
    <w:rsid w:val="00E55A50"/>
    <w:rsid w:val="00E565C2"/>
    <w:rsid w:val="00E56738"/>
    <w:rsid w:val="00E60269"/>
    <w:rsid w:val="00E60887"/>
    <w:rsid w:val="00E60C32"/>
    <w:rsid w:val="00E61619"/>
    <w:rsid w:val="00E61E25"/>
    <w:rsid w:val="00E6272B"/>
    <w:rsid w:val="00E627F6"/>
    <w:rsid w:val="00E62F1A"/>
    <w:rsid w:val="00E63F1D"/>
    <w:rsid w:val="00E646D5"/>
    <w:rsid w:val="00E64EEE"/>
    <w:rsid w:val="00E66F49"/>
    <w:rsid w:val="00E67F4F"/>
    <w:rsid w:val="00E721A9"/>
    <w:rsid w:val="00E73549"/>
    <w:rsid w:val="00E74861"/>
    <w:rsid w:val="00E74EC9"/>
    <w:rsid w:val="00E75733"/>
    <w:rsid w:val="00E75A9D"/>
    <w:rsid w:val="00E76B19"/>
    <w:rsid w:val="00E80CF7"/>
    <w:rsid w:val="00E81B8E"/>
    <w:rsid w:val="00E81ED7"/>
    <w:rsid w:val="00E8369B"/>
    <w:rsid w:val="00E8377F"/>
    <w:rsid w:val="00E83850"/>
    <w:rsid w:val="00E85244"/>
    <w:rsid w:val="00E86159"/>
    <w:rsid w:val="00E86741"/>
    <w:rsid w:val="00E87AE4"/>
    <w:rsid w:val="00E90C1F"/>
    <w:rsid w:val="00E9124A"/>
    <w:rsid w:val="00E9222C"/>
    <w:rsid w:val="00E92AA5"/>
    <w:rsid w:val="00E9558B"/>
    <w:rsid w:val="00E95D1B"/>
    <w:rsid w:val="00E96801"/>
    <w:rsid w:val="00E9735C"/>
    <w:rsid w:val="00EA234B"/>
    <w:rsid w:val="00EA274B"/>
    <w:rsid w:val="00EA2EFA"/>
    <w:rsid w:val="00EA3184"/>
    <w:rsid w:val="00EA3732"/>
    <w:rsid w:val="00EA3CDD"/>
    <w:rsid w:val="00EA5028"/>
    <w:rsid w:val="00EA50D6"/>
    <w:rsid w:val="00EA5714"/>
    <w:rsid w:val="00EA5D8D"/>
    <w:rsid w:val="00EA60EF"/>
    <w:rsid w:val="00EA6A30"/>
    <w:rsid w:val="00EA6A41"/>
    <w:rsid w:val="00EA7662"/>
    <w:rsid w:val="00EA7CC3"/>
    <w:rsid w:val="00EB016F"/>
    <w:rsid w:val="00EB04F4"/>
    <w:rsid w:val="00EB2216"/>
    <w:rsid w:val="00EB27D1"/>
    <w:rsid w:val="00EB2CE7"/>
    <w:rsid w:val="00EB33F4"/>
    <w:rsid w:val="00EB3B9C"/>
    <w:rsid w:val="00EB4C04"/>
    <w:rsid w:val="00EB6502"/>
    <w:rsid w:val="00EB6517"/>
    <w:rsid w:val="00EB7D9C"/>
    <w:rsid w:val="00EC1406"/>
    <w:rsid w:val="00EC1526"/>
    <w:rsid w:val="00EC23F3"/>
    <w:rsid w:val="00EC2677"/>
    <w:rsid w:val="00EC2AB5"/>
    <w:rsid w:val="00EC36F2"/>
    <w:rsid w:val="00EC4856"/>
    <w:rsid w:val="00EC4B79"/>
    <w:rsid w:val="00EC4F33"/>
    <w:rsid w:val="00EC7E82"/>
    <w:rsid w:val="00ED0B81"/>
    <w:rsid w:val="00ED0D16"/>
    <w:rsid w:val="00ED1A64"/>
    <w:rsid w:val="00ED28DD"/>
    <w:rsid w:val="00ED43A6"/>
    <w:rsid w:val="00ED602A"/>
    <w:rsid w:val="00ED69B3"/>
    <w:rsid w:val="00ED6FB9"/>
    <w:rsid w:val="00ED7371"/>
    <w:rsid w:val="00ED7E2F"/>
    <w:rsid w:val="00ED7EA8"/>
    <w:rsid w:val="00EE02A3"/>
    <w:rsid w:val="00EE0650"/>
    <w:rsid w:val="00EE0BCA"/>
    <w:rsid w:val="00EE1313"/>
    <w:rsid w:val="00EE2126"/>
    <w:rsid w:val="00EE3363"/>
    <w:rsid w:val="00EE4C7E"/>
    <w:rsid w:val="00EE556D"/>
    <w:rsid w:val="00EE6184"/>
    <w:rsid w:val="00EE641E"/>
    <w:rsid w:val="00EE7A2C"/>
    <w:rsid w:val="00EF09D3"/>
    <w:rsid w:val="00EF0B82"/>
    <w:rsid w:val="00EF108A"/>
    <w:rsid w:val="00EF1240"/>
    <w:rsid w:val="00EF1F75"/>
    <w:rsid w:val="00EF2240"/>
    <w:rsid w:val="00EF3069"/>
    <w:rsid w:val="00EF31A5"/>
    <w:rsid w:val="00EF3EB5"/>
    <w:rsid w:val="00EF57B9"/>
    <w:rsid w:val="00EF57DF"/>
    <w:rsid w:val="00EF6556"/>
    <w:rsid w:val="00F02BAD"/>
    <w:rsid w:val="00F0319D"/>
    <w:rsid w:val="00F11635"/>
    <w:rsid w:val="00F12D86"/>
    <w:rsid w:val="00F131AA"/>
    <w:rsid w:val="00F131FD"/>
    <w:rsid w:val="00F1350B"/>
    <w:rsid w:val="00F13B05"/>
    <w:rsid w:val="00F13B5A"/>
    <w:rsid w:val="00F13EED"/>
    <w:rsid w:val="00F1473E"/>
    <w:rsid w:val="00F15AF2"/>
    <w:rsid w:val="00F16AF4"/>
    <w:rsid w:val="00F21290"/>
    <w:rsid w:val="00F2299F"/>
    <w:rsid w:val="00F231F0"/>
    <w:rsid w:val="00F24787"/>
    <w:rsid w:val="00F24D39"/>
    <w:rsid w:val="00F251E2"/>
    <w:rsid w:val="00F259A5"/>
    <w:rsid w:val="00F263E5"/>
    <w:rsid w:val="00F301E0"/>
    <w:rsid w:val="00F307CC"/>
    <w:rsid w:val="00F30BBA"/>
    <w:rsid w:val="00F31630"/>
    <w:rsid w:val="00F316E1"/>
    <w:rsid w:val="00F31A8F"/>
    <w:rsid w:val="00F320C0"/>
    <w:rsid w:val="00F32D63"/>
    <w:rsid w:val="00F34012"/>
    <w:rsid w:val="00F343A3"/>
    <w:rsid w:val="00F34C99"/>
    <w:rsid w:val="00F3531A"/>
    <w:rsid w:val="00F4173F"/>
    <w:rsid w:val="00F41DB0"/>
    <w:rsid w:val="00F439BB"/>
    <w:rsid w:val="00F43CEB"/>
    <w:rsid w:val="00F449D7"/>
    <w:rsid w:val="00F461AE"/>
    <w:rsid w:val="00F467F9"/>
    <w:rsid w:val="00F5184D"/>
    <w:rsid w:val="00F51B88"/>
    <w:rsid w:val="00F51CB2"/>
    <w:rsid w:val="00F520B0"/>
    <w:rsid w:val="00F52102"/>
    <w:rsid w:val="00F534D3"/>
    <w:rsid w:val="00F5421D"/>
    <w:rsid w:val="00F54623"/>
    <w:rsid w:val="00F54757"/>
    <w:rsid w:val="00F55022"/>
    <w:rsid w:val="00F55184"/>
    <w:rsid w:val="00F564B9"/>
    <w:rsid w:val="00F5704A"/>
    <w:rsid w:val="00F60DF3"/>
    <w:rsid w:val="00F62057"/>
    <w:rsid w:val="00F6264B"/>
    <w:rsid w:val="00F6290C"/>
    <w:rsid w:val="00F646C8"/>
    <w:rsid w:val="00F6773C"/>
    <w:rsid w:val="00F67988"/>
    <w:rsid w:val="00F67C01"/>
    <w:rsid w:val="00F70909"/>
    <w:rsid w:val="00F7114B"/>
    <w:rsid w:val="00F71183"/>
    <w:rsid w:val="00F714BE"/>
    <w:rsid w:val="00F721EF"/>
    <w:rsid w:val="00F72AC2"/>
    <w:rsid w:val="00F72F17"/>
    <w:rsid w:val="00F73923"/>
    <w:rsid w:val="00F74168"/>
    <w:rsid w:val="00F742F1"/>
    <w:rsid w:val="00F7470C"/>
    <w:rsid w:val="00F74942"/>
    <w:rsid w:val="00F75E51"/>
    <w:rsid w:val="00F76037"/>
    <w:rsid w:val="00F761E0"/>
    <w:rsid w:val="00F76832"/>
    <w:rsid w:val="00F76B53"/>
    <w:rsid w:val="00F7761D"/>
    <w:rsid w:val="00F77724"/>
    <w:rsid w:val="00F77839"/>
    <w:rsid w:val="00F77AF3"/>
    <w:rsid w:val="00F77CE6"/>
    <w:rsid w:val="00F77DD1"/>
    <w:rsid w:val="00F8023F"/>
    <w:rsid w:val="00F82021"/>
    <w:rsid w:val="00F82080"/>
    <w:rsid w:val="00F82A7B"/>
    <w:rsid w:val="00F8476C"/>
    <w:rsid w:val="00F850A1"/>
    <w:rsid w:val="00F85CBD"/>
    <w:rsid w:val="00F86B84"/>
    <w:rsid w:val="00F905B8"/>
    <w:rsid w:val="00F91164"/>
    <w:rsid w:val="00F91D47"/>
    <w:rsid w:val="00F92B0F"/>
    <w:rsid w:val="00F92E7D"/>
    <w:rsid w:val="00F9354E"/>
    <w:rsid w:val="00F941FC"/>
    <w:rsid w:val="00F96D24"/>
    <w:rsid w:val="00F97093"/>
    <w:rsid w:val="00F97FF3"/>
    <w:rsid w:val="00FA0091"/>
    <w:rsid w:val="00FA137D"/>
    <w:rsid w:val="00FA1AA9"/>
    <w:rsid w:val="00FA2C8B"/>
    <w:rsid w:val="00FA3E0C"/>
    <w:rsid w:val="00FA4FBA"/>
    <w:rsid w:val="00FA5580"/>
    <w:rsid w:val="00FA655A"/>
    <w:rsid w:val="00FA69C3"/>
    <w:rsid w:val="00FA6AAC"/>
    <w:rsid w:val="00FA6CBC"/>
    <w:rsid w:val="00FA6D48"/>
    <w:rsid w:val="00FA7027"/>
    <w:rsid w:val="00FA7EC0"/>
    <w:rsid w:val="00FB1729"/>
    <w:rsid w:val="00FB30A2"/>
    <w:rsid w:val="00FB3FC9"/>
    <w:rsid w:val="00FC072E"/>
    <w:rsid w:val="00FC4323"/>
    <w:rsid w:val="00FC51AE"/>
    <w:rsid w:val="00FC550A"/>
    <w:rsid w:val="00FC551E"/>
    <w:rsid w:val="00FC5790"/>
    <w:rsid w:val="00FC61C6"/>
    <w:rsid w:val="00FC6275"/>
    <w:rsid w:val="00FD039F"/>
    <w:rsid w:val="00FD053B"/>
    <w:rsid w:val="00FD0AF0"/>
    <w:rsid w:val="00FD1234"/>
    <w:rsid w:val="00FD18F3"/>
    <w:rsid w:val="00FD194F"/>
    <w:rsid w:val="00FD1995"/>
    <w:rsid w:val="00FD2333"/>
    <w:rsid w:val="00FD25E1"/>
    <w:rsid w:val="00FD3EF6"/>
    <w:rsid w:val="00FD5688"/>
    <w:rsid w:val="00FD5725"/>
    <w:rsid w:val="00FD5AEF"/>
    <w:rsid w:val="00FD5E1C"/>
    <w:rsid w:val="00FD5F36"/>
    <w:rsid w:val="00FD7F6B"/>
    <w:rsid w:val="00FE0948"/>
    <w:rsid w:val="00FE0E33"/>
    <w:rsid w:val="00FE1880"/>
    <w:rsid w:val="00FE3256"/>
    <w:rsid w:val="00FE3F8E"/>
    <w:rsid w:val="00FE47ED"/>
    <w:rsid w:val="00FE5101"/>
    <w:rsid w:val="00FE5190"/>
    <w:rsid w:val="00FE5B48"/>
    <w:rsid w:val="00FE61DC"/>
    <w:rsid w:val="00FE67D0"/>
    <w:rsid w:val="00FE689B"/>
    <w:rsid w:val="00FE79CE"/>
    <w:rsid w:val="00FF081E"/>
    <w:rsid w:val="00FF145C"/>
    <w:rsid w:val="00FF26EE"/>
    <w:rsid w:val="00FF28EC"/>
    <w:rsid w:val="00FF47A3"/>
    <w:rsid w:val="00FF4B3F"/>
    <w:rsid w:val="00FF4B43"/>
    <w:rsid w:val="00FF4C23"/>
    <w:rsid w:val="00FF574F"/>
    <w:rsid w:val="04983982"/>
    <w:rsid w:val="0A882EE5"/>
    <w:rsid w:val="0B7B6F1E"/>
    <w:rsid w:val="0C441C0C"/>
    <w:rsid w:val="106F5306"/>
    <w:rsid w:val="143855B2"/>
    <w:rsid w:val="1A7D382F"/>
    <w:rsid w:val="1B1807CE"/>
    <w:rsid w:val="1E5E41C7"/>
    <w:rsid w:val="1E820F4A"/>
    <w:rsid w:val="20FE3A19"/>
    <w:rsid w:val="22DA7298"/>
    <w:rsid w:val="232A36EE"/>
    <w:rsid w:val="26E7304C"/>
    <w:rsid w:val="29616D57"/>
    <w:rsid w:val="2AE45A02"/>
    <w:rsid w:val="2C7A5B1E"/>
    <w:rsid w:val="2FBF49D6"/>
    <w:rsid w:val="31F44866"/>
    <w:rsid w:val="322E13E2"/>
    <w:rsid w:val="355A251C"/>
    <w:rsid w:val="35B51FEC"/>
    <w:rsid w:val="39826CCA"/>
    <w:rsid w:val="3A637816"/>
    <w:rsid w:val="3AEC5A96"/>
    <w:rsid w:val="3C383C48"/>
    <w:rsid w:val="3C403215"/>
    <w:rsid w:val="3C433E6D"/>
    <w:rsid w:val="3E6C659A"/>
    <w:rsid w:val="3F8746F9"/>
    <w:rsid w:val="41DE07ED"/>
    <w:rsid w:val="43C42B84"/>
    <w:rsid w:val="43D770B1"/>
    <w:rsid w:val="43F219CC"/>
    <w:rsid w:val="49F97DAF"/>
    <w:rsid w:val="4A4A5FD0"/>
    <w:rsid w:val="4AF936FD"/>
    <w:rsid w:val="4B6F147C"/>
    <w:rsid w:val="4BBC5032"/>
    <w:rsid w:val="4C2A3158"/>
    <w:rsid w:val="4D46442B"/>
    <w:rsid w:val="50E73707"/>
    <w:rsid w:val="51A41159"/>
    <w:rsid w:val="52186C98"/>
    <w:rsid w:val="52994D7C"/>
    <w:rsid w:val="54B35781"/>
    <w:rsid w:val="555D40DF"/>
    <w:rsid w:val="55961F55"/>
    <w:rsid w:val="59000BEB"/>
    <w:rsid w:val="590D637B"/>
    <w:rsid w:val="5B201AAF"/>
    <w:rsid w:val="5C6A2D83"/>
    <w:rsid w:val="5E1433EE"/>
    <w:rsid w:val="5F747597"/>
    <w:rsid w:val="601452EA"/>
    <w:rsid w:val="601718C1"/>
    <w:rsid w:val="61A4629E"/>
    <w:rsid w:val="61CA7501"/>
    <w:rsid w:val="62D068BA"/>
    <w:rsid w:val="62F808FF"/>
    <w:rsid w:val="633B7AB5"/>
    <w:rsid w:val="64A634D1"/>
    <w:rsid w:val="652F49C5"/>
    <w:rsid w:val="676B5FE6"/>
    <w:rsid w:val="67F306C6"/>
    <w:rsid w:val="683541AC"/>
    <w:rsid w:val="6D493952"/>
    <w:rsid w:val="70CC5ACE"/>
    <w:rsid w:val="74875043"/>
    <w:rsid w:val="769F2120"/>
    <w:rsid w:val="76B0714A"/>
    <w:rsid w:val="78022884"/>
    <w:rsid w:val="796D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4"/>
    <w:next w:val="6"/>
    <w:link w:val="69"/>
    <w:qFormat/>
    <w:uiPriority w:val="0"/>
    <w:pPr>
      <w:adjustRightInd w:val="0"/>
      <w:jc w:val="center"/>
      <w:textAlignment w:val="baseline"/>
      <w:outlineLvl w:val="1"/>
    </w:pPr>
    <w:rPr>
      <w:kern w:val="0"/>
      <w:sz w:val="24"/>
      <w:szCs w:val="20"/>
    </w:rPr>
  </w:style>
  <w:style w:type="paragraph" w:styleId="4">
    <w:name w:val="heading 3"/>
    <w:basedOn w:val="1"/>
    <w:next w:val="1"/>
    <w:link w:val="53"/>
    <w:qFormat/>
    <w:uiPriority w:val="0"/>
    <w:pPr>
      <w:spacing w:before="260" w:after="260"/>
      <w:outlineLvl w:val="2"/>
    </w:pPr>
    <w:rPr>
      <w:rFonts w:ascii="宋体" w:hAnsi="宋体"/>
      <w:szCs w:val="32"/>
    </w:rPr>
  </w:style>
  <w:style w:type="paragraph" w:styleId="6">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78"/>
    <w:qFormat/>
    <w:uiPriority w:val="0"/>
    <w:pPr>
      <w:keepNext/>
      <w:keepLines/>
      <w:spacing w:before="280" w:after="290" w:line="376" w:lineRule="auto"/>
      <w:outlineLvl w:val="4"/>
    </w:pPr>
    <w:rPr>
      <w:b/>
      <w:sz w:val="28"/>
      <w:szCs w:val="20"/>
    </w:rPr>
  </w:style>
  <w:style w:type="paragraph" w:styleId="8">
    <w:name w:val="heading 6"/>
    <w:basedOn w:val="1"/>
    <w:next w:val="2"/>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82"/>
    <w:qFormat/>
    <w:uiPriority w:val="0"/>
    <w:pPr>
      <w:keepNext/>
      <w:keepLines/>
      <w:spacing w:before="240" w:after="64" w:line="320" w:lineRule="auto"/>
      <w:outlineLvl w:val="6"/>
    </w:pPr>
    <w:rPr>
      <w:b/>
      <w:sz w:val="24"/>
      <w:szCs w:val="20"/>
    </w:rPr>
  </w:style>
  <w:style w:type="paragraph" w:styleId="10">
    <w:name w:val="heading 8"/>
    <w:basedOn w:val="1"/>
    <w:next w:val="2"/>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link w:val="90"/>
    <w:qFormat/>
    <w:uiPriority w:val="0"/>
    <w:pPr>
      <w:spacing w:line="360" w:lineRule="auto"/>
    </w:pPr>
    <w:rPr>
      <w:b/>
      <w:bCs/>
      <w:sz w:val="24"/>
    </w:rPr>
  </w:style>
  <w:style w:type="paragraph" w:styleId="19">
    <w:name w:val="Body Text Indent"/>
    <w:basedOn w:val="1"/>
    <w:link w:val="77"/>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8"/>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6"/>
    <w:qFormat/>
    <w:uiPriority w:val="0"/>
    <w:rPr>
      <w:rFonts w:ascii="宋体" w:hAnsi="Courier New"/>
      <w:sz w:val="32"/>
      <w:szCs w:val="20"/>
    </w:rPr>
  </w:style>
  <w:style w:type="paragraph" w:styleId="25">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7"/>
    <w:semiHidden/>
    <w:qFormat/>
    <w:uiPriority w:val="0"/>
    <w:rPr>
      <w:sz w:val="18"/>
      <w:szCs w:val="18"/>
    </w:rPr>
  </w:style>
  <w:style w:type="paragraph" w:styleId="27">
    <w:name w:val="footer"/>
    <w:basedOn w:val="1"/>
    <w:link w:val="95"/>
    <w:qFormat/>
    <w:uiPriority w:val="0"/>
    <w:pPr>
      <w:tabs>
        <w:tab w:val="center" w:pos="4153"/>
        <w:tab w:val="right" w:pos="8306"/>
      </w:tabs>
      <w:snapToGrid w:val="0"/>
      <w:jc w:val="left"/>
    </w:pPr>
    <w:rPr>
      <w:sz w:val="18"/>
      <w:szCs w:val="18"/>
    </w:rPr>
  </w:style>
  <w:style w:type="paragraph" w:styleId="28">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3"/>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4"/>
    <w:qFormat/>
    <w:uiPriority w:val="0"/>
    <w:pPr>
      <w:spacing w:line="360" w:lineRule="auto"/>
    </w:pPr>
    <w:rPr>
      <w:sz w:val="24"/>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qFormat/>
    <w:uiPriority w:val="99"/>
    <w:pPr>
      <w:spacing w:beforeAutospacing="1" w:afterAutospacing="1"/>
      <w:jc w:val="left"/>
    </w:pPr>
    <w:rPr>
      <w:kern w:val="0"/>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3"/>
    <w:qFormat/>
    <w:uiPriority w:val="0"/>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qFormat/>
    <w:uiPriority w:val="0"/>
    <w:rPr>
      <w:rFonts w:hint="eastAsia" w:ascii="宋体" w:hAnsi="宋体" w:eastAsia="宋体" w:cs="宋体"/>
      <w:color w:val="333333"/>
      <w:sz w:val="18"/>
      <w:szCs w:val="18"/>
      <w:u w:val="none"/>
    </w:rPr>
  </w:style>
  <w:style w:type="character" w:styleId="48">
    <w:name w:val="Emphasis"/>
    <w:basedOn w:val="44"/>
    <w:qFormat/>
    <w:uiPriority w:val="0"/>
  </w:style>
  <w:style w:type="character" w:styleId="49">
    <w:name w:val="Hyperlink"/>
    <w:basedOn w:val="44"/>
    <w:qFormat/>
    <w:uiPriority w:val="0"/>
    <w:rPr>
      <w:rFonts w:hint="eastAsia" w:ascii="宋体" w:hAnsi="宋体" w:eastAsia="宋体" w:cs="宋体"/>
      <w:color w:val="333333"/>
      <w:sz w:val="18"/>
      <w:szCs w:val="18"/>
      <w:u w:val="none"/>
    </w:rPr>
  </w:style>
  <w:style w:type="character" w:styleId="50">
    <w:name w:val="annotation reference"/>
    <w:basedOn w:val="44"/>
    <w:qFormat/>
    <w:uiPriority w:val="99"/>
    <w:rPr>
      <w:sz w:val="21"/>
      <w:szCs w:val="21"/>
    </w:rPr>
  </w:style>
  <w:style w:type="character" w:customStyle="1" w:styleId="51">
    <w:name w:val="标题 4 Char"/>
    <w:link w:val="6"/>
    <w:qFormat/>
    <w:uiPriority w:val="0"/>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4"/>
    <w:qFormat/>
    <w:uiPriority w:val="0"/>
    <w:rPr>
      <w:rFonts w:ascii="宋体" w:hAnsi="宋体" w:eastAsia="宋体"/>
      <w:b/>
      <w:bCs/>
      <w:kern w:val="2"/>
      <w:sz w:val="28"/>
      <w:szCs w:val="32"/>
      <w:lang w:val="en-US" w:eastAsia="zh-CN" w:bidi="ar-SA"/>
    </w:rPr>
  </w:style>
  <w:style w:type="character" w:customStyle="1" w:styleId="54">
    <w:name w:val="标题 1 Char"/>
    <w:link w:val="3"/>
    <w:qFormat/>
    <w:uiPriority w:val="0"/>
    <w:rPr>
      <w:rFonts w:ascii="宋体" w:hAnsi="宋体" w:eastAsia="黑体"/>
      <w:b/>
      <w:bCs/>
      <w:kern w:val="44"/>
      <w:sz w:val="28"/>
      <w:szCs w:val="44"/>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19"/>
    <w:qFormat/>
    <w:uiPriority w:val="0"/>
    <w:rPr>
      <w:rFonts w:eastAsia="宋体"/>
      <w:kern w:val="2"/>
      <w:sz w:val="21"/>
      <w:szCs w:val="24"/>
      <w:lang w:val="en-US" w:eastAsia="zh-CN" w:bidi="ar-SA"/>
    </w:rPr>
  </w:style>
  <w:style w:type="character" w:customStyle="1" w:styleId="78">
    <w:name w:val="标题 5 Char"/>
    <w:link w:val="7"/>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8"/>
    <w:qFormat/>
    <w:uiPriority w:val="0"/>
    <w:rPr>
      <w:rFonts w:ascii="Arial" w:hAnsi="Arial" w:eastAsia="黑体"/>
      <w:b/>
      <w:kern w:val="2"/>
      <w:sz w:val="24"/>
      <w:lang w:val="en-US" w:eastAsia="zh-CN" w:bidi="ar-SA"/>
    </w:rPr>
  </w:style>
  <w:style w:type="character" w:customStyle="1" w:styleId="82">
    <w:name w:val="标题 7 Char"/>
    <w:link w:val="9"/>
    <w:qFormat/>
    <w:uiPriority w:val="0"/>
    <w:rPr>
      <w:rFonts w:eastAsia="宋体"/>
      <w:b/>
      <w:kern w:val="2"/>
      <w:sz w:val="24"/>
      <w:lang w:val="en-US" w:eastAsia="zh-CN" w:bidi="ar-SA"/>
    </w:rPr>
  </w:style>
  <w:style w:type="character" w:customStyle="1" w:styleId="83">
    <w:name w:val="标题 8 Char"/>
    <w:link w:val="10"/>
    <w:qFormat/>
    <w:uiPriority w:val="0"/>
    <w:rPr>
      <w:rFonts w:ascii="Arial" w:hAnsi="Arial" w:eastAsia="黑体"/>
      <w:kern w:val="2"/>
      <w:sz w:val="24"/>
      <w:lang w:val="en-US" w:eastAsia="zh-CN" w:bidi="ar-SA"/>
    </w:rPr>
  </w:style>
  <w:style w:type="character" w:customStyle="1" w:styleId="84">
    <w:name w:val="标题 9 Char"/>
    <w:link w:val="11"/>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4"/>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2"/>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8"/>
    <w:qFormat/>
    <w:uiPriority w:val="0"/>
    <w:rPr>
      <w:rFonts w:eastAsia="宋体"/>
      <w:b/>
      <w:bCs/>
      <w:kern w:val="2"/>
      <w:sz w:val="24"/>
      <w:szCs w:val="24"/>
      <w:lang w:val="en-US" w:eastAsia="zh-CN" w:bidi="ar-SA"/>
    </w:rPr>
  </w:style>
  <w:style w:type="character" w:customStyle="1" w:styleId="91">
    <w:name w:val="正文文本缩进 2 Char"/>
    <w:link w:val="25"/>
    <w:qFormat/>
    <w:uiPriority w:val="0"/>
    <w:rPr>
      <w:rFonts w:ascii="宋体" w:hAnsi="宋体" w:eastAsia="宋体"/>
      <w:kern w:val="2"/>
      <w:sz w:val="21"/>
      <w:szCs w:val="24"/>
      <w:lang w:val="en-US" w:eastAsia="zh-CN" w:bidi="ar-SA"/>
    </w:rPr>
  </w:style>
  <w:style w:type="character" w:customStyle="1" w:styleId="92">
    <w:name w:val="页眉 Char"/>
    <w:link w:val="28"/>
    <w:qFormat/>
    <w:uiPriority w:val="0"/>
    <w:rPr>
      <w:rFonts w:eastAsia="宋体"/>
      <w:kern w:val="2"/>
      <w:sz w:val="18"/>
      <w:szCs w:val="18"/>
      <w:lang w:val="en-US" w:eastAsia="zh-CN" w:bidi="ar-SA"/>
    </w:rPr>
  </w:style>
  <w:style w:type="character" w:customStyle="1" w:styleId="93">
    <w:name w:val="正文文本缩进 3 Char"/>
    <w:link w:val="32"/>
    <w:qFormat/>
    <w:uiPriority w:val="0"/>
    <w:rPr>
      <w:rFonts w:ascii="宋体" w:eastAsia="宋体"/>
      <w:b/>
      <w:bCs/>
      <w:kern w:val="2"/>
      <w:sz w:val="24"/>
      <w:szCs w:val="24"/>
      <w:lang w:val="en-US" w:eastAsia="zh-CN" w:bidi="ar-SA"/>
    </w:rPr>
  </w:style>
  <w:style w:type="character" w:customStyle="1" w:styleId="94">
    <w:name w:val="正文文本 2 Char"/>
    <w:link w:val="35"/>
    <w:qFormat/>
    <w:uiPriority w:val="0"/>
    <w:rPr>
      <w:rFonts w:eastAsia="宋体"/>
      <w:kern w:val="2"/>
      <w:sz w:val="24"/>
      <w:szCs w:val="24"/>
      <w:lang w:val="en-US" w:eastAsia="zh-CN" w:bidi="ar-SA"/>
    </w:rPr>
  </w:style>
  <w:style w:type="character" w:customStyle="1" w:styleId="95">
    <w:name w:val="页脚 Char"/>
    <w:link w:val="27"/>
    <w:qFormat/>
    <w:uiPriority w:val="0"/>
    <w:rPr>
      <w:rFonts w:eastAsia="宋体"/>
      <w:kern w:val="2"/>
      <w:sz w:val="18"/>
      <w:szCs w:val="18"/>
      <w:lang w:val="en-US" w:eastAsia="zh-CN" w:bidi="ar-SA"/>
    </w:rPr>
  </w:style>
  <w:style w:type="character" w:customStyle="1" w:styleId="96">
    <w:name w:val="正文文本 3 Char"/>
    <w:link w:val="17"/>
    <w:qFormat/>
    <w:uiPriority w:val="0"/>
    <w:rPr>
      <w:rFonts w:eastAsia="宋体"/>
      <w:kern w:val="2"/>
      <w:sz w:val="16"/>
      <w:szCs w:val="16"/>
      <w:lang w:val="en-US" w:eastAsia="zh-CN" w:bidi="ar-SA"/>
    </w:rPr>
  </w:style>
  <w:style w:type="character" w:customStyle="1" w:styleId="97">
    <w:name w:val="批注框文本 Char"/>
    <w:link w:val="26"/>
    <w:semiHidden/>
    <w:qFormat/>
    <w:uiPriority w:val="0"/>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2"/>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19"/>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2"/>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6"/>
    <w:semiHidden/>
    <w:qFormat/>
    <w:uiPriority w:val="0"/>
    <w:rPr>
      <w:rFonts w:ascii="宋体"/>
      <w:sz w:val="34"/>
    </w:rPr>
  </w:style>
  <w:style w:type="character" w:customStyle="1" w:styleId="183">
    <w:name w:val="批注主题 Char"/>
    <w:basedOn w:val="182"/>
    <w:link w:val="40"/>
    <w:qFormat/>
    <w:uiPriority w:val="0"/>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fielderror"/>
    <w:basedOn w:val="44"/>
    <w:qFormat/>
    <w:uiPriority w:val="0"/>
    <w:rPr>
      <w:color w:val="800000"/>
    </w:rPr>
  </w:style>
  <w:style w:type="character" w:customStyle="1" w:styleId="189">
    <w:name w:val="first-child"/>
    <w:basedOn w:val="44"/>
    <w:qFormat/>
    <w:uiPriority w:val="0"/>
  </w:style>
  <w:style w:type="character" w:customStyle="1" w:styleId="190">
    <w:name w:val="hilite6"/>
    <w:basedOn w:val="44"/>
    <w:qFormat/>
    <w:uiPriority w:val="0"/>
    <w:rPr>
      <w:color w:val="000000"/>
    </w:rPr>
  </w:style>
  <w:style w:type="character" w:customStyle="1" w:styleId="191">
    <w:name w:val="active8"/>
    <w:basedOn w:val="44"/>
    <w:qFormat/>
    <w:uiPriority w:val="0"/>
    <w:rPr>
      <w:color w:val="FFFFFF"/>
    </w:rPr>
  </w:style>
  <w:style w:type="character" w:customStyle="1" w:styleId="192">
    <w:name w:val="layui-layer-tabnow"/>
    <w:basedOn w:val="44"/>
    <w:qFormat/>
    <w:uiPriority w:val="0"/>
    <w:rPr>
      <w:bdr w:val="single" w:color="CCCCCC" w:sz="6" w:space="0"/>
      <w:shd w:val="clear" w:color="auto" w:fill="FFFFFF"/>
    </w:rPr>
  </w:style>
  <w:style w:type="character" w:customStyle="1" w:styleId="193">
    <w:name w:val="active6"/>
    <w:basedOn w:val="44"/>
    <w:qFormat/>
    <w:uiPriority w:val="0"/>
    <w:rPr>
      <w:color w:val="FFFFFF"/>
    </w:rPr>
  </w:style>
  <w:style w:type="character" w:customStyle="1" w:styleId="194">
    <w:name w:val="hilite"/>
    <w:basedOn w:val="44"/>
    <w:qFormat/>
    <w:uiPriority w:val="0"/>
    <w:rPr>
      <w:color w:val="000000"/>
    </w:rPr>
  </w:style>
  <w:style w:type="character" w:customStyle="1" w:styleId="195">
    <w:name w:val="active"/>
    <w:basedOn w:val="44"/>
    <w:qFormat/>
    <w:uiPriority w:val="0"/>
    <w:rPr>
      <w:color w:val="FFFFFF"/>
    </w:rPr>
  </w:style>
  <w:style w:type="character" w:customStyle="1" w:styleId="196">
    <w:name w:val="active1"/>
    <w:basedOn w:val="44"/>
    <w:qFormat/>
    <w:uiPriority w:val="0"/>
    <w:rPr>
      <w:color w:val="FFFFFF"/>
    </w:rPr>
  </w:style>
  <w:style w:type="character" w:customStyle="1" w:styleId="197">
    <w:name w:val="active7"/>
    <w:basedOn w:val="44"/>
    <w:qFormat/>
    <w:uiPriority w:val="0"/>
    <w:rPr>
      <w:color w:val="FFFFFF"/>
    </w:rPr>
  </w:style>
  <w:style w:type="character" w:customStyle="1" w:styleId="198">
    <w:name w:val="hilite4"/>
    <w:basedOn w:val="44"/>
    <w:qFormat/>
    <w:uiPriority w:val="0"/>
    <w:rPr>
      <w:color w:val="000000"/>
    </w:rPr>
  </w:style>
  <w:style w:type="character" w:customStyle="1" w:styleId="199">
    <w:name w:val="active2"/>
    <w:basedOn w:val="44"/>
    <w:qFormat/>
    <w:uiPriority w:val="0"/>
    <w:rPr>
      <w:color w:val="FFFFFF"/>
    </w:rPr>
  </w:style>
  <w:style w:type="paragraph" w:styleId="20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5986C-7626-4405-813F-7F9003A492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43344</Words>
  <Characters>8748</Characters>
  <Lines>72</Lines>
  <Paragraphs>103</Paragraphs>
  <TotalTime>178</TotalTime>
  <ScaleCrop>false</ScaleCrop>
  <LinksUpToDate>false</LinksUpToDate>
  <CharactersWithSpaces>51989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2020-04-02T10:27:00Z</dcterms:created>
  <dc:creator>thsware</dc:creator>
  <cp:lastModifiedBy>admin</cp:lastModifiedBy>
  <cp:lastPrinted>2018-11-06T09:21:00Z</cp:lastPrinted>
  <dcterms:modified xsi:type="dcterms:W3CDTF">2020-10-30T06:10:08Z</dcterms:modified>
  <dc:title>招  标　文　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